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734AC">
      <w:pPr>
        <w:pStyle w:val="2"/>
        <w:jc w:val="left"/>
        <w:rPr>
          <w:rFonts w:ascii="方正公文小标宋" w:eastAsia="方正公文小标宋"/>
          <w:b w:val="0"/>
          <w:sz w:val="84"/>
          <w:szCs w:val="84"/>
          <w:lang w:eastAsia="zh-CN"/>
        </w:rPr>
      </w:pPr>
    </w:p>
    <w:p w14:paraId="202F25A0">
      <w:pPr>
        <w:pStyle w:val="2"/>
        <w:jc w:val="left"/>
        <w:rPr>
          <w:rFonts w:ascii="方正公文小标宋" w:eastAsia="方正公文小标宋"/>
          <w:b w:val="0"/>
          <w:sz w:val="84"/>
          <w:szCs w:val="84"/>
          <w:lang w:eastAsia="zh-CN"/>
        </w:rPr>
      </w:pPr>
    </w:p>
    <w:p w14:paraId="0F0E3351">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吉林省长春市榆树市红星乡人民</w:t>
      </w:r>
    </w:p>
    <w:p w14:paraId="0058D7D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5D3EFA7E">
      <w:pPr>
        <w:rPr>
          <w:rFonts w:ascii="方正公文小标宋" w:eastAsia="方正公文小标宋"/>
          <w:sz w:val="84"/>
          <w:szCs w:val="84"/>
          <w:lang w:eastAsia="zh-CN"/>
        </w:rPr>
      </w:pPr>
    </w:p>
    <w:p w14:paraId="07286AC7">
      <w:pPr>
        <w:rPr>
          <w:rFonts w:ascii="方正公文小标宋" w:eastAsia="方正公文小标宋"/>
          <w:sz w:val="84"/>
          <w:szCs w:val="84"/>
          <w:lang w:eastAsia="zh-CN"/>
        </w:rPr>
      </w:pPr>
    </w:p>
    <w:p w14:paraId="1088073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208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C7E1581">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5CA7563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_Toc29682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_Toc29682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F1C80D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_Toc30801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_Toc30801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C32AA9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_Toc22131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_Toc22131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25EBF1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0178E18">
      <w:pPr>
        <w:rPr>
          <w:lang w:eastAsia="zh-CN"/>
        </w:rPr>
      </w:pPr>
    </w:p>
    <w:p w14:paraId="49ED7E18">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6B21015">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2968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C487A5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B44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3BBE">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05DAA5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079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5FA7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F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F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C818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6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92285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A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6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DB1DD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6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8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C17CA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D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E98F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D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2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30B2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8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E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F356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D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ECB4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F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3619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6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854CA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B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93B9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0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C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7AD151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1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9393D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D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9757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0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D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CE7C2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8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B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6AAB4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0A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3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AB68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D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A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6CE4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5E229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D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372E5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EEB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B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7BA68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9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7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89676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8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7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495B8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5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A7E40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1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8528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0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902EE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EC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3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86B69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5F1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1DC1C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7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9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44B80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F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B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BB345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9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5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52AD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1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7602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B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7C1F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E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4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1ABA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E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开展引进和发展淡水龙虾养殖项目工作</w:t>
            </w:r>
          </w:p>
        </w:tc>
      </w:tr>
      <w:tr w14:paraId="4110C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6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E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开展葡萄、李子、苗木特色产业种植推广工作，做大做强农产品产业项目</w:t>
            </w:r>
          </w:p>
        </w:tc>
      </w:tr>
      <w:tr w14:paraId="57200B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2DB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5D5A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0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0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193A3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F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F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9E5FE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9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ADE9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F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3065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6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F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7FA7E5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E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2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AB46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3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F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01E8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D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88C7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0D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C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8D85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7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06920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D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52C7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1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970A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8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B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01253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5AB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2424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B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2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3F02E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F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5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6726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D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BAEF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0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6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CA3F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5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91B9B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7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9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93452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0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5BFF1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D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42EA46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5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4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6EE8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C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E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FE64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8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AA30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F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2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AC9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4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EEC5C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7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6A52FD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D104F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4E3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4D16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6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D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0900A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1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5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732D7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1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36B42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8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2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75D0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4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D91FE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E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037BC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7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6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9674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D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1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5B380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7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F1D34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E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B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E23F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E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4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B35B1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F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D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50A3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0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5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7414F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8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8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78A51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E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F8A9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FB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6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C01E5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DD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FC5A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6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02825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C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A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7F6E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F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966FB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19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5252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D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7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5FB51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8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3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DC26C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6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7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3DC9F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DD3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ECDE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A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2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44B2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F4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F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3DBA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4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77F8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6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01D38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1E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04EDE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6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1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DC73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4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E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A59D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9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6A37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E5AD9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E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B50A8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C6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4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AACE2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9F0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5DE3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5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26310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6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8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A03D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3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2043D2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6EC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7E52E9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1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3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F370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8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8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527E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B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1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4C1D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6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A1C1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A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C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3B7287A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D4F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49FA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C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6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79ED6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7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4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769641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B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6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74D37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711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50F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2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96ED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8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29ABF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C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0556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B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6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5113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5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C28E1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5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D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F68D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B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E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59CFE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7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8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9AF8E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3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32702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7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A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D26C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1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A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1299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B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C76D5F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30801"/>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938208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D9E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FC4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F3BF">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789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7FD7">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7F17D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34F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7FEE8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F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6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A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BBDA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5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6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1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6340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88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1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F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8FE7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8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B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3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5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B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771791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3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D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7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932C0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B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8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B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3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DE23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4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A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A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4D05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3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7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A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F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D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2195A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9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3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E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61B3B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4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5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3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0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1D5C7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C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1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1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B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50E032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0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5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3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7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D59D1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1F6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2193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C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B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2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0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B5F1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7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B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B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05AF0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24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C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A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B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8C88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8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F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3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5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B7CC9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D4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2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4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74914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4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B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B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6DB76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5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A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E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38CEF5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6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F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2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E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3C28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2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0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D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8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7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9CD5B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AD0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5AE00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D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7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1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B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5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7C77C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9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2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1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A08D2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4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D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5B0452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D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E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A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1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6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5B28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D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C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9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B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6710B7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6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B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3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A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AC48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6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4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4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1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FA3E8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1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2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8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0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EC8A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0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9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2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9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0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B5BF7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2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E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7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0DF6A7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06B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AAA5A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F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C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19DBA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7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6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F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8669B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0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7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D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4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121ACA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9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A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7E7FA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5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1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C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D1D5A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5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F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6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4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94C5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0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3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1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6D1B28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2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0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D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B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0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AAF30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29F2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47E7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D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D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D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3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1F6C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8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B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A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7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6129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F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1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0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7EAD7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8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4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F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5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1ED4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A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3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0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A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38E5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A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5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D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A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AE2E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9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A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9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D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2BC8D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B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A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2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1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8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C6F54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4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F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D9EF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2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5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14B86C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3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6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F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7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6B91F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7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D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F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6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D1E0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6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7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0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5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D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07FDE4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5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B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B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E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4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B1BA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6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2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E3062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7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A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B8E5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E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E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D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6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4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67964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F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5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6BA948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2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0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8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945B9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4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F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6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E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3E16A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F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7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E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F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5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96D8E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8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8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23B6B6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E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A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2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8BDD8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F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7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7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62EA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2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5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1346C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69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B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6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2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776BA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5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5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A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443E6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356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39EB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4F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6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C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5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59D824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86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4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6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A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11CDA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282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C86A8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14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F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9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4E0BA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8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E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8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3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782ADB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EEE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54199F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7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1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4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0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8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A991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9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F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8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4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C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B730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DD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6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F9A5D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E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F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078EE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7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3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F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7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32D3F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2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7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5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7662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1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5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9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5B915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F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3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D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9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0C1B9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0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B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4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9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7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E9F76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F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C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01583B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5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6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F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E65E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E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D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4D10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6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A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A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D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3FDC5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0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E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C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3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CCD00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A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C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5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9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8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0716D9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9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9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3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B0666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27A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672C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2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0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D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B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C3EB9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B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E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A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A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07EE2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8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3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2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D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578F5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7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6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6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618475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98D8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559C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D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5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1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C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169B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2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3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4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5259A5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7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8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3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EE7E7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BC2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29D4C3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B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C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1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C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0FE6D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C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5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1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D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0D8B7E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113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0B433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8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A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7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CC8B6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FBA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52461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F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9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4587BA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5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7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2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6B039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E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4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8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BB2B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6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E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F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4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2AB9F5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D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F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C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E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3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67E85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2C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2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4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902B8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8AD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53EA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1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F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2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0A58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D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E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8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F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1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9A66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9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B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0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5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AE739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4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5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D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E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C188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6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4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1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A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1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A1F90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4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5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E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6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BFDE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935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70E3A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1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7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E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F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5E71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AB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E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2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94D3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6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7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F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2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C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6707B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D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C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0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561958A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22131"/>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8F0046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050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AF6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D09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84C86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8FA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757D7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C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2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1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E70C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B57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3810C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1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5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5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0B324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3D2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08EE7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7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D7A0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0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8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19088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5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1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8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9B490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A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C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B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8DAC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0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6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8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9A9B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D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5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6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DB24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8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F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EF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7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F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8CC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B9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735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7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3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2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3C6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7D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4E7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8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B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8C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9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7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010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6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F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1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552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1A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4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A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D6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88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6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1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860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7E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5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CC1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D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A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5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5A7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E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53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2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AB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3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C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EFB3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D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9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EC8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40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5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6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246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1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9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C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36AB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66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8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0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C1C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8DD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1641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D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3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0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C7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7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B46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01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5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B64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A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C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0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9BB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4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4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3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62D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F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B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5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EB8A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4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5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E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D44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F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2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7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94C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36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6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C5C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3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4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2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0F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B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4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D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2FF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3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C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4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7CE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9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D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0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A3A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C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C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CD49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8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F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7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96CF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19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C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7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1F0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8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7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7B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6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288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A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0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F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CBC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AF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AB50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B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1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0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627E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A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0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1FA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A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0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4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EA46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7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9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F797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B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E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7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0F8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6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3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6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5C4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3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214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61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2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C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E37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F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5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E7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0932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6EF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2B4C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5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A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F58A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1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429F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B9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C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D4AD9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E20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69761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A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745E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7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3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3EA6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2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3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4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1F9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4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6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7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980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B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B74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59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5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D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B3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B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7D9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D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1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A3F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E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B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D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B7E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C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E9D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4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D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B04F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2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E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1218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C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D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E2F3E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B9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E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7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E11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3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4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B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3FD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C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5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E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AB31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A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6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ECD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7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95E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B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5F33E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9D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1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76E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D0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B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E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EC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A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2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C33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8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A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4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6533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8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3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6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6253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95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A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D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AE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57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8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E20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A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3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082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3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C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6BC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E2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1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5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8DB5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0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7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F6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1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63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E99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C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4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0A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A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4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C229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F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3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F4A8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BE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A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4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E0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6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0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D2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7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0E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0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6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07D0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F6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30F9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5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9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20E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C0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9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2AE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C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E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1E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7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D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0D863E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1CA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1DDF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5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E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06D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5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8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2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5008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7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0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E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749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A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2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EE0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07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E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1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E2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6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6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1A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5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F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7CB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5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4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2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521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A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E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3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46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0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9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2D997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E90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15ADE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F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7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B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D6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8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82F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DB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7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BA0F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B9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D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2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0ED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7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1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2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C62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FB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C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38B4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9C5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4120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9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3FE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0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7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02E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36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C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0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A6CC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19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60CCD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6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1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F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BF79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1F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C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D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14BCB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F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7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4DBB6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037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0A70F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7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0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49E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6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F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3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56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4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C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4A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0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1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3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7DFB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B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C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C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3DF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2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8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A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E4B6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F8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4B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3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D51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B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4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524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18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1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F4B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8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4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1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8E3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2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66D7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B09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0F19F0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44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A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8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6C220995">
      <w:pPr>
        <w:pStyle w:val="3"/>
        <w:spacing w:before="0" w:after="0" w:line="240" w:lineRule="auto"/>
        <w:jc w:val="center"/>
        <w:rPr>
          <w:rFonts w:ascii="Times New Roman" w:hAnsi="Times New Roman" w:eastAsia="方正小标宋_GBK" w:cs="Times New Roman"/>
          <w:color w:val="auto"/>
          <w:spacing w:val="7"/>
          <w:lang w:eastAsia="zh-CN"/>
        </w:rPr>
      </w:pPr>
    </w:p>
    <w:p w14:paraId="1B2AD72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69C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1BA8B3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1BA8B3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718F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2CF30FB1"/>
    <w:rsid w:val="54A53026"/>
    <w:rsid w:val="55DE2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6114</Words>
  <Characters>6286</Characters>
  <Lines>1</Lines>
  <Paragraphs>1</Paragraphs>
  <TotalTime>1</TotalTime>
  <ScaleCrop>false</ScaleCrop>
  <LinksUpToDate>false</LinksUpToDate>
  <CharactersWithSpaces>6295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2025-09-26T06:51:58Z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2052-12.1.0.22529</vt:lpwstr>
  </property>
  <property fmtid="{D5CDD505-2E9C-101B-9397-08002B2CF9AE}" pid="4" name="ICV">
    <vt:lpwstr>700599CF4FC04031B5CDE7A2BAE691B4_13</vt:lpwstr>
  </property>
</Properties>
</file>