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1E8C9">
      <w:pPr>
        <w:keepNext w:val="0"/>
        <w:keepLines w:val="0"/>
        <w:pageBreakBefore w:val="0"/>
        <w:widowControl w:val="0"/>
        <w:kinsoku/>
        <w:wordWrap/>
        <w:overflowPunct/>
        <w:topLinePunct w:val="0"/>
        <w:autoSpaceDE w:val="0"/>
        <w:autoSpaceDN w:val="0"/>
        <w:bidi w:val="0"/>
        <w:adjustRightInd w:val="0"/>
        <w:snapToGrid/>
        <w:spacing w:line="360" w:lineRule="exact"/>
        <w:ind w:firstLine="420" w:firstLineChars="0"/>
        <w:jc w:val="center"/>
        <w:textAlignment w:val="auto"/>
        <w:rPr>
          <w:rFonts w:hint="eastAsia" w:ascii="宋体" w:hAnsi="宋体" w:eastAsia="宋体" w:cs="宋体"/>
          <w:b w:val="0"/>
          <w:bCs/>
          <w:color w:val="auto"/>
          <w:sz w:val="21"/>
          <w:szCs w:val="21"/>
          <w:highlight w:val="none"/>
          <w:u w:val="none"/>
          <w:lang w:val="en-US" w:eastAsia="zh-CN"/>
        </w:rPr>
      </w:pPr>
      <w:r>
        <w:rPr>
          <w:rFonts w:hint="eastAsia" w:ascii="宋体" w:hAnsi="宋体" w:eastAsia="宋体" w:cs="宋体"/>
          <w:b w:val="0"/>
          <w:bCs/>
          <w:color w:val="auto"/>
          <w:sz w:val="21"/>
          <w:szCs w:val="21"/>
          <w:highlight w:val="none"/>
          <w:u w:val="none"/>
          <w:lang w:val="en-US" w:eastAsia="zh-CN"/>
        </w:rPr>
        <w:t>榆树市普通公路设施维修、清障、应急救援、抢险服务项目招标文件关键内容信息公开</w:t>
      </w:r>
    </w:p>
    <w:p w14:paraId="1AF02510">
      <w:pPr>
        <w:keepNext w:val="0"/>
        <w:keepLines w:val="0"/>
        <w:pageBreakBefore w:val="0"/>
        <w:widowControl w:val="0"/>
        <w:kinsoku/>
        <w:wordWrap/>
        <w:overflowPunct/>
        <w:topLinePunct w:val="0"/>
        <w:bidi w:val="0"/>
        <w:snapToGrid w:val="0"/>
        <w:spacing w:line="360" w:lineRule="exact"/>
        <w:ind w:firstLine="420" w:firstLineChars="200"/>
        <w:jc w:val="left"/>
        <w:textAlignment w:val="auto"/>
        <w:rPr>
          <w:rFonts w:hint="eastAsia" w:ascii="宋体" w:hAnsi="宋体" w:eastAsia="宋体" w:cs="宋体"/>
          <w:i w:val="0"/>
          <w:iCs w:val="0"/>
          <w:caps w:val="0"/>
          <w:color w:val="000000"/>
          <w:spacing w:val="0"/>
          <w:sz w:val="21"/>
          <w:szCs w:val="21"/>
          <w:highlight w:val="none"/>
          <w:shd w:val="clear" w:color="auto" w:fill="FFFFFF"/>
        </w:rPr>
      </w:pPr>
      <w:r>
        <w:rPr>
          <w:rFonts w:hint="eastAsia" w:ascii="宋体" w:hAnsi="宋体" w:eastAsia="宋体" w:cs="宋体"/>
          <w:i w:val="0"/>
          <w:iCs w:val="0"/>
          <w:caps w:val="0"/>
          <w:color w:val="000000"/>
          <w:spacing w:val="0"/>
          <w:sz w:val="21"/>
          <w:szCs w:val="21"/>
          <w:highlight w:val="none"/>
          <w:shd w:val="clear" w:color="auto" w:fill="FFFFFF"/>
        </w:rPr>
        <w:t>1.招标条件</w:t>
      </w:r>
    </w:p>
    <w:p w14:paraId="0A326188">
      <w:pPr>
        <w:keepNext w:val="0"/>
        <w:keepLines w:val="0"/>
        <w:pageBreakBefore w:val="0"/>
        <w:widowControl w:val="0"/>
        <w:kinsoku/>
        <w:wordWrap/>
        <w:overflowPunct/>
        <w:topLinePunct w:val="0"/>
        <w:bidi w:val="0"/>
        <w:snapToGrid w:val="0"/>
        <w:spacing w:line="360" w:lineRule="exact"/>
        <w:ind w:firstLine="420" w:firstLineChars="200"/>
        <w:jc w:val="left"/>
        <w:textAlignment w:val="auto"/>
        <w:rPr>
          <w:rFonts w:hint="eastAsia" w:ascii="宋体" w:hAnsi="宋体" w:eastAsia="宋体" w:cs="宋体"/>
          <w:i w:val="0"/>
          <w:iCs w:val="0"/>
          <w:caps w:val="0"/>
          <w:color w:val="000000"/>
          <w:spacing w:val="0"/>
          <w:sz w:val="21"/>
          <w:szCs w:val="21"/>
          <w:highlight w:val="none"/>
          <w:shd w:val="clear" w:color="auto" w:fill="FFFFFF"/>
        </w:rPr>
      </w:pPr>
      <w:bookmarkStart w:id="0" w:name="_Toc436994094"/>
      <w:r>
        <w:rPr>
          <w:rFonts w:hint="eastAsia" w:ascii="宋体" w:hAnsi="宋体" w:eastAsia="宋体" w:cs="宋体"/>
          <w:i w:val="0"/>
          <w:iCs w:val="0"/>
          <w:caps w:val="0"/>
          <w:color w:val="000000"/>
          <w:spacing w:val="0"/>
          <w:sz w:val="21"/>
          <w:szCs w:val="21"/>
          <w:highlight w:val="none"/>
          <w:shd w:val="clear" w:color="auto" w:fill="FFFFFF"/>
        </w:rPr>
        <w:t>本招标项目榆树市普通公路设施维修、清障、应急救援、抢险</w:t>
      </w:r>
      <w:r>
        <w:rPr>
          <w:rFonts w:hint="eastAsia" w:ascii="宋体" w:hAnsi="宋体" w:eastAsia="宋体" w:cs="宋体"/>
          <w:i w:val="0"/>
          <w:iCs w:val="0"/>
          <w:caps w:val="0"/>
          <w:color w:val="000000"/>
          <w:spacing w:val="0"/>
          <w:sz w:val="21"/>
          <w:szCs w:val="21"/>
          <w:highlight w:val="none"/>
          <w:shd w:val="clear" w:color="auto" w:fill="FFFFFF"/>
          <w:lang w:val="en-US" w:eastAsia="zh-CN"/>
        </w:rPr>
        <w:t>服务</w:t>
      </w:r>
      <w:r>
        <w:rPr>
          <w:rFonts w:hint="eastAsia" w:ascii="宋体" w:hAnsi="宋体" w:eastAsia="宋体" w:cs="宋体"/>
          <w:i w:val="0"/>
          <w:iCs w:val="0"/>
          <w:caps w:val="0"/>
          <w:color w:val="000000"/>
          <w:spacing w:val="0"/>
          <w:sz w:val="21"/>
          <w:szCs w:val="21"/>
          <w:highlight w:val="none"/>
          <w:shd w:val="clear" w:color="auto" w:fill="FFFFFF"/>
        </w:rPr>
        <w:t>项目已由</w:t>
      </w:r>
      <w:r>
        <w:rPr>
          <w:rFonts w:hint="eastAsia" w:ascii="宋体" w:hAnsi="宋体" w:eastAsia="宋体" w:cs="宋体"/>
          <w:i w:val="0"/>
          <w:iCs w:val="0"/>
          <w:caps w:val="0"/>
          <w:color w:val="000000"/>
          <w:spacing w:val="0"/>
          <w:sz w:val="21"/>
          <w:szCs w:val="21"/>
          <w:highlight w:val="none"/>
          <w:shd w:val="clear" w:color="auto" w:fill="FFFFFF"/>
          <w:lang w:val="en-US" w:eastAsia="zh-CN"/>
        </w:rPr>
        <w:t>上级主管部门</w:t>
      </w:r>
      <w:r>
        <w:rPr>
          <w:rFonts w:hint="eastAsia" w:ascii="宋体" w:hAnsi="宋体" w:eastAsia="宋体" w:cs="宋体"/>
          <w:i w:val="0"/>
          <w:iCs w:val="0"/>
          <w:caps w:val="0"/>
          <w:color w:val="000000"/>
          <w:spacing w:val="0"/>
          <w:sz w:val="21"/>
          <w:szCs w:val="21"/>
          <w:highlight w:val="none"/>
          <w:shd w:val="clear" w:color="auto" w:fill="FFFFFF"/>
        </w:rPr>
        <w:t>批准实施，项目业主为榆树市</w:t>
      </w:r>
      <w:r>
        <w:rPr>
          <w:rFonts w:hint="eastAsia" w:ascii="宋体" w:hAnsi="宋体" w:eastAsia="宋体" w:cs="宋体"/>
          <w:i w:val="0"/>
          <w:iCs w:val="0"/>
          <w:caps w:val="0"/>
          <w:color w:val="000000"/>
          <w:spacing w:val="0"/>
          <w:sz w:val="21"/>
          <w:szCs w:val="21"/>
          <w:highlight w:val="none"/>
          <w:shd w:val="clear" w:color="auto" w:fill="FFFFFF"/>
          <w:lang w:val="en-US" w:eastAsia="zh-CN"/>
        </w:rPr>
        <w:t>交通运输局</w:t>
      </w:r>
      <w:r>
        <w:rPr>
          <w:rFonts w:hint="eastAsia" w:ascii="宋体" w:hAnsi="宋体" w:eastAsia="宋体" w:cs="宋体"/>
          <w:i w:val="0"/>
          <w:iCs w:val="0"/>
          <w:caps w:val="0"/>
          <w:color w:val="000000"/>
          <w:spacing w:val="0"/>
          <w:sz w:val="21"/>
          <w:szCs w:val="21"/>
          <w:highlight w:val="none"/>
          <w:shd w:val="clear" w:color="auto" w:fill="FFFFFF"/>
        </w:rPr>
        <w:t>公路管理段，建设资金已落实，招标人为榆树市交通运输局公路管理段。项目已具备招标条件，现对该项目进行公开招标。</w:t>
      </w:r>
    </w:p>
    <w:p w14:paraId="758D195C">
      <w:pPr>
        <w:keepNext w:val="0"/>
        <w:keepLines w:val="0"/>
        <w:pageBreakBefore w:val="0"/>
        <w:widowControl w:val="0"/>
        <w:kinsoku/>
        <w:wordWrap/>
        <w:overflowPunct/>
        <w:topLinePunct w:val="0"/>
        <w:bidi w:val="0"/>
        <w:snapToGrid w:val="0"/>
        <w:spacing w:line="360" w:lineRule="exact"/>
        <w:ind w:firstLine="420" w:firstLineChars="200"/>
        <w:jc w:val="left"/>
        <w:textAlignment w:val="auto"/>
        <w:rPr>
          <w:rFonts w:hint="eastAsia" w:ascii="宋体" w:hAnsi="宋体" w:eastAsia="宋体" w:cs="宋体"/>
          <w:i w:val="0"/>
          <w:iCs w:val="0"/>
          <w:caps w:val="0"/>
          <w:color w:val="000000"/>
          <w:spacing w:val="0"/>
          <w:sz w:val="21"/>
          <w:szCs w:val="21"/>
          <w:highlight w:val="none"/>
          <w:shd w:val="clear" w:color="auto" w:fill="FFFFFF"/>
        </w:rPr>
      </w:pPr>
      <w:r>
        <w:rPr>
          <w:rFonts w:hint="eastAsia" w:ascii="宋体" w:hAnsi="宋体" w:eastAsia="宋体" w:cs="宋体"/>
          <w:i w:val="0"/>
          <w:iCs w:val="0"/>
          <w:caps w:val="0"/>
          <w:color w:val="000000"/>
          <w:spacing w:val="0"/>
          <w:sz w:val="21"/>
          <w:szCs w:val="21"/>
          <w:highlight w:val="none"/>
          <w:shd w:val="clear" w:color="auto" w:fill="FFFFFF"/>
        </w:rPr>
        <w:t>2.项目概况与招标范围</w:t>
      </w:r>
      <w:bookmarkEnd w:id="0"/>
    </w:p>
    <w:p w14:paraId="2C0A5C62">
      <w:pPr>
        <w:keepNext w:val="0"/>
        <w:keepLines w:val="0"/>
        <w:pageBreakBefore w:val="0"/>
        <w:widowControl w:val="0"/>
        <w:kinsoku/>
        <w:wordWrap/>
        <w:overflowPunct/>
        <w:topLinePunct w:val="0"/>
        <w:bidi w:val="0"/>
        <w:snapToGrid w:val="0"/>
        <w:spacing w:line="360" w:lineRule="exact"/>
        <w:ind w:firstLine="420" w:firstLineChars="200"/>
        <w:jc w:val="left"/>
        <w:textAlignment w:val="auto"/>
        <w:rPr>
          <w:rFonts w:hint="eastAsia" w:ascii="宋体" w:hAnsi="宋体" w:eastAsia="宋体" w:cs="宋体"/>
          <w:i w:val="0"/>
          <w:iCs w:val="0"/>
          <w:caps w:val="0"/>
          <w:color w:val="000000"/>
          <w:spacing w:val="0"/>
          <w:sz w:val="21"/>
          <w:szCs w:val="21"/>
          <w:highlight w:val="none"/>
          <w:shd w:val="clear" w:color="auto" w:fill="FFFFFF"/>
        </w:rPr>
      </w:pPr>
      <w:bookmarkStart w:id="1" w:name="_Toc257655328"/>
      <w:bookmarkStart w:id="2" w:name="_Toc436994095"/>
      <w:r>
        <w:rPr>
          <w:rFonts w:hint="eastAsia" w:ascii="宋体" w:hAnsi="宋体" w:eastAsia="宋体" w:cs="宋体"/>
          <w:i w:val="0"/>
          <w:iCs w:val="0"/>
          <w:caps w:val="0"/>
          <w:color w:val="000000"/>
          <w:spacing w:val="0"/>
          <w:sz w:val="21"/>
          <w:szCs w:val="21"/>
          <w:highlight w:val="none"/>
          <w:shd w:val="clear" w:color="auto" w:fill="FFFFFF"/>
        </w:rPr>
        <w:t>2.1建设地点：榆树市。</w:t>
      </w:r>
    </w:p>
    <w:p w14:paraId="33FF485D">
      <w:pPr>
        <w:keepNext w:val="0"/>
        <w:keepLines w:val="0"/>
        <w:pageBreakBefore w:val="0"/>
        <w:widowControl w:val="0"/>
        <w:kinsoku/>
        <w:wordWrap/>
        <w:overflowPunct/>
        <w:topLinePunct w:val="0"/>
        <w:bidi w:val="0"/>
        <w:snapToGrid w:val="0"/>
        <w:spacing w:line="360" w:lineRule="exact"/>
        <w:ind w:firstLine="420" w:firstLineChars="200"/>
        <w:jc w:val="left"/>
        <w:textAlignment w:val="auto"/>
        <w:rPr>
          <w:rFonts w:hint="eastAsia" w:ascii="宋体" w:hAnsi="宋体" w:eastAsia="宋体" w:cs="宋体"/>
          <w:i w:val="0"/>
          <w:iCs w:val="0"/>
          <w:caps w:val="0"/>
          <w:color w:val="000000"/>
          <w:spacing w:val="0"/>
          <w:sz w:val="21"/>
          <w:szCs w:val="21"/>
          <w:highlight w:val="none"/>
          <w:shd w:val="clear" w:color="auto" w:fill="FFFFFF"/>
        </w:rPr>
      </w:pPr>
      <w:r>
        <w:rPr>
          <w:rFonts w:hint="eastAsia" w:ascii="宋体" w:hAnsi="宋体" w:eastAsia="宋体" w:cs="宋体"/>
          <w:i w:val="0"/>
          <w:iCs w:val="0"/>
          <w:caps w:val="0"/>
          <w:color w:val="000000"/>
          <w:spacing w:val="0"/>
          <w:sz w:val="21"/>
          <w:szCs w:val="21"/>
          <w:highlight w:val="none"/>
          <w:shd w:val="clear" w:color="auto" w:fill="FFFFFF"/>
        </w:rPr>
        <w:t>2.2规模：榆树市辖区内国省干线及专养县级公路上公路标志、标线、护栏等公路附属设施以及应急安全设施的安装、维修、维护、保养；清障、救援、抢险等服务。</w:t>
      </w:r>
    </w:p>
    <w:p w14:paraId="12E4688A">
      <w:pPr>
        <w:keepNext w:val="0"/>
        <w:keepLines w:val="0"/>
        <w:pageBreakBefore w:val="0"/>
        <w:widowControl w:val="0"/>
        <w:kinsoku/>
        <w:wordWrap/>
        <w:overflowPunct/>
        <w:topLinePunct w:val="0"/>
        <w:bidi w:val="0"/>
        <w:snapToGrid w:val="0"/>
        <w:spacing w:line="360" w:lineRule="exact"/>
        <w:ind w:firstLine="420" w:firstLineChars="200"/>
        <w:jc w:val="left"/>
        <w:textAlignment w:val="auto"/>
        <w:rPr>
          <w:rFonts w:hint="eastAsia" w:ascii="宋体" w:hAnsi="宋体" w:eastAsia="宋体" w:cs="宋体"/>
          <w:i w:val="0"/>
          <w:iCs w:val="0"/>
          <w:caps w:val="0"/>
          <w:color w:val="000000"/>
          <w:spacing w:val="0"/>
          <w:sz w:val="21"/>
          <w:szCs w:val="21"/>
          <w:highlight w:val="none"/>
          <w:shd w:val="clear" w:color="auto" w:fill="FFFFFF"/>
        </w:rPr>
      </w:pPr>
      <w:r>
        <w:rPr>
          <w:rFonts w:hint="eastAsia" w:ascii="宋体" w:hAnsi="宋体" w:eastAsia="宋体" w:cs="宋体"/>
          <w:i w:val="0"/>
          <w:iCs w:val="0"/>
          <w:caps w:val="0"/>
          <w:color w:val="000000"/>
          <w:spacing w:val="0"/>
          <w:sz w:val="21"/>
          <w:szCs w:val="21"/>
          <w:highlight w:val="none"/>
          <w:shd w:val="clear" w:color="auto" w:fill="FFFFFF"/>
        </w:rPr>
        <w:t>2.3招标范围、服务期限：</w:t>
      </w:r>
    </w:p>
    <w:tbl>
      <w:tblPr>
        <w:tblStyle w:val="6"/>
        <w:tblW w:w="46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2441"/>
        <w:gridCol w:w="1560"/>
        <w:gridCol w:w="2403"/>
      </w:tblGrid>
      <w:tr w14:paraId="4312B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918" w:type="pct"/>
            <w:noWrap w:val="0"/>
            <w:vAlign w:val="center"/>
          </w:tcPr>
          <w:p w14:paraId="5396CCAF">
            <w:pPr>
              <w:widowControl/>
              <w:snapToGrid w:val="0"/>
              <w:jc w:val="center"/>
              <w:rPr>
                <w:rFonts w:ascii="宋体" w:hAnsi="宋体"/>
                <w:kern w:val="0"/>
                <w:szCs w:val="21"/>
                <w:lang w:val="zh-CN"/>
              </w:rPr>
            </w:pPr>
            <w:r>
              <w:rPr>
                <w:rFonts w:hint="eastAsia" w:ascii="宋体" w:hAnsi="宋体"/>
                <w:kern w:val="0"/>
                <w:szCs w:val="21"/>
                <w:lang w:val="zh-CN"/>
              </w:rPr>
              <w:t>项目名称</w:t>
            </w:r>
          </w:p>
        </w:tc>
        <w:tc>
          <w:tcPr>
            <w:tcW w:w="1555" w:type="pct"/>
            <w:noWrap w:val="0"/>
            <w:vAlign w:val="center"/>
          </w:tcPr>
          <w:p w14:paraId="6A5A2731">
            <w:pPr>
              <w:widowControl/>
              <w:snapToGrid w:val="0"/>
              <w:jc w:val="center"/>
              <w:rPr>
                <w:rFonts w:ascii="宋体" w:hAnsi="宋体"/>
                <w:kern w:val="0"/>
                <w:szCs w:val="21"/>
                <w:lang w:val="zh-CN"/>
              </w:rPr>
            </w:pPr>
            <w:r>
              <w:rPr>
                <w:rFonts w:hint="eastAsia" w:ascii="宋体" w:hAnsi="宋体"/>
                <w:kern w:val="0"/>
                <w:szCs w:val="21"/>
                <w:lang w:val="zh-CN"/>
              </w:rPr>
              <w:t>招标范围</w:t>
            </w:r>
          </w:p>
        </w:tc>
        <w:tc>
          <w:tcPr>
            <w:tcW w:w="994" w:type="pct"/>
            <w:noWrap w:val="0"/>
            <w:vAlign w:val="center"/>
          </w:tcPr>
          <w:p w14:paraId="531FE443">
            <w:pPr>
              <w:widowControl/>
              <w:snapToGrid w:val="0"/>
              <w:jc w:val="center"/>
              <w:rPr>
                <w:rFonts w:hint="eastAsia" w:ascii="宋体" w:hAnsi="宋体"/>
                <w:kern w:val="0"/>
                <w:szCs w:val="21"/>
                <w:lang w:val="zh-CN"/>
              </w:rPr>
            </w:pPr>
            <w:r>
              <w:rPr>
                <w:rFonts w:hint="eastAsia" w:ascii="宋体" w:hAnsi="宋体"/>
                <w:szCs w:val="21"/>
              </w:rPr>
              <w:t>服务期限</w:t>
            </w:r>
          </w:p>
        </w:tc>
        <w:tc>
          <w:tcPr>
            <w:tcW w:w="1531" w:type="pct"/>
            <w:noWrap w:val="0"/>
            <w:vAlign w:val="center"/>
          </w:tcPr>
          <w:p w14:paraId="63A0C005">
            <w:pPr>
              <w:widowControl/>
              <w:snapToGrid w:val="0"/>
              <w:jc w:val="center"/>
              <w:rPr>
                <w:rFonts w:hint="eastAsia" w:ascii="宋体" w:hAnsi="宋体"/>
                <w:szCs w:val="21"/>
              </w:rPr>
            </w:pPr>
            <w:r>
              <w:rPr>
                <w:rFonts w:hint="eastAsia" w:ascii="宋体" w:hAnsi="宋体"/>
                <w:szCs w:val="21"/>
              </w:rPr>
              <w:t>最高限价（折扣系数）</w:t>
            </w:r>
          </w:p>
        </w:tc>
      </w:tr>
      <w:tr w14:paraId="73E9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7" w:hRule="atLeast"/>
          <w:jc w:val="center"/>
        </w:trPr>
        <w:tc>
          <w:tcPr>
            <w:tcW w:w="918" w:type="pct"/>
            <w:noWrap w:val="0"/>
            <w:vAlign w:val="center"/>
          </w:tcPr>
          <w:p w14:paraId="2C4D1388">
            <w:pPr>
              <w:snapToGrid w:val="0"/>
              <w:jc w:val="center"/>
              <w:rPr>
                <w:rFonts w:hint="eastAsia" w:ascii="宋体" w:hAnsi="宋体"/>
                <w:szCs w:val="21"/>
              </w:rPr>
            </w:pPr>
            <w:r>
              <w:rPr>
                <w:rFonts w:hint="eastAsia" w:ascii="宋体" w:hAnsi="宋体"/>
                <w:szCs w:val="21"/>
              </w:rPr>
              <w:t>榆树市普通公路设施维修、清障、应急救援、抢险</w:t>
            </w:r>
            <w:r>
              <w:rPr>
                <w:rFonts w:hint="eastAsia" w:ascii="宋体" w:hAnsi="宋体"/>
                <w:szCs w:val="21"/>
                <w:lang w:val="en-US" w:eastAsia="zh-CN"/>
              </w:rPr>
              <w:t>服务</w:t>
            </w:r>
            <w:r>
              <w:rPr>
                <w:rFonts w:hint="eastAsia" w:ascii="宋体" w:hAnsi="宋体"/>
                <w:szCs w:val="21"/>
              </w:rPr>
              <w:t>项目</w:t>
            </w:r>
          </w:p>
        </w:tc>
        <w:tc>
          <w:tcPr>
            <w:tcW w:w="1555" w:type="pct"/>
            <w:noWrap w:val="0"/>
            <w:vAlign w:val="center"/>
          </w:tcPr>
          <w:p w14:paraId="66C43CC0">
            <w:pPr>
              <w:snapToGrid w:val="0"/>
              <w:jc w:val="center"/>
              <w:rPr>
                <w:rFonts w:ascii="宋体" w:hAnsi="宋体"/>
                <w:szCs w:val="21"/>
              </w:rPr>
            </w:pPr>
            <w:r>
              <w:rPr>
                <w:rFonts w:hint="eastAsia" w:ascii="宋体" w:hAnsi="宋体"/>
                <w:kern w:val="0"/>
                <w:szCs w:val="21"/>
              </w:rPr>
              <w:t>榆树市辖区内国省干线及专养县级公路</w:t>
            </w:r>
            <w:r>
              <w:rPr>
                <w:rFonts w:hint="eastAsia" w:ascii="宋体" w:hAnsi="宋体"/>
                <w:kern w:val="0"/>
                <w:szCs w:val="21"/>
                <w:lang w:val="en-US" w:eastAsia="zh-CN"/>
              </w:rPr>
              <w:t>沿线</w:t>
            </w:r>
            <w:r>
              <w:rPr>
                <w:rFonts w:hint="eastAsia" w:ascii="宋体" w:hAnsi="宋体"/>
                <w:kern w:val="0"/>
                <w:szCs w:val="21"/>
              </w:rPr>
              <w:t>公路标志、标线、护栏等公路附属设施</w:t>
            </w:r>
            <w:r>
              <w:rPr>
                <w:rFonts w:hint="eastAsia" w:ascii="宋体" w:hAnsi="宋体"/>
                <w:kern w:val="0"/>
                <w:szCs w:val="21"/>
                <w:lang w:eastAsia="zh-CN"/>
              </w:rPr>
              <w:t>，</w:t>
            </w:r>
            <w:r>
              <w:rPr>
                <w:rFonts w:hint="eastAsia" w:ascii="宋体" w:hAnsi="宋体"/>
                <w:kern w:val="0"/>
                <w:szCs w:val="21"/>
              </w:rPr>
              <w:t>以及应急安全设施的安装、维修、维护、保养；清障、救援、抢险等</w:t>
            </w:r>
            <w:r>
              <w:rPr>
                <w:rFonts w:hint="eastAsia" w:ascii="宋体" w:hAnsi="宋体"/>
                <w:szCs w:val="21"/>
              </w:rPr>
              <w:t>。</w:t>
            </w:r>
          </w:p>
        </w:tc>
        <w:tc>
          <w:tcPr>
            <w:tcW w:w="994" w:type="pct"/>
            <w:noWrap w:val="0"/>
            <w:vAlign w:val="center"/>
          </w:tcPr>
          <w:p w14:paraId="5F3B94FD">
            <w:pPr>
              <w:adjustRightInd w:val="0"/>
              <w:snapToGrid w:val="0"/>
              <w:jc w:val="center"/>
              <w:rPr>
                <w:rFonts w:hint="default" w:ascii="宋体" w:hAnsi="宋体" w:eastAsia="宋体"/>
                <w:szCs w:val="21"/>
                <w:lang w:val="en-US" w:eastAsia="zh-CN"/>
              </w:rPr>
            </w:pPr>
            <w:r>
              <w:rPr>
                <w:rFonts w:ascii="宋体" w:hAnsi="宋体"/>
                <w:szCs w:val="21"/>
                <w:highlight w:val="none"/>
              </w:rPr>
              <w:t>202</w:t>
            </w:r>
            <w:r>
              <w:rPr>
                <w:rFonts w:hint="eastAsia" w:ascii="宋体" w:hAnsi="宋体"/>
                <w:szCs w:val="21"/>
                <w:highlight w:val="none"/>
                <w:lang w:val="en-US" w:eastAsia="zh-CN"/>
              </w:rPr>
              <w:t>6</w:t>
            </w:r>
            <w:r>
              <w:rPr>
                <w:rFonts w:ascii="宋体" w:hAnsi="宋体"/>
                <w:szCs w:val="21"/>
                <w:highlight w:val="none"/>
              </w:rPr>
              <w:t>年</w:t>
            </w:r>
            <w:r>
              <w:rPr>
                <w:rFonts w:hint="eastAsia" w:ascii="宋体" w:hAnsi="宋体"/>
                <w:szCs w:val="21"/>
                <w:highlight w:val="none"/>
                <w:lang w:val="en-US" w:eastAsia="zh-CN"/>
              </w:rPr>
              <w:t>11</w:t>
            </w:r>
            <w:r>
              <w:rPr>
                <w:rFonts w:ascii="宋体" w:hAnsi="宋体"/>
                <w:szCs w:val="21"/>
                <w:highlight w:val="none"/>
              </w:rPr>
              <w:t>月</w:t>
            </w:r>
            <w:r>
              <w:rPr>
                <w:rFonts w:hint="eastAsia" w:ascii="宋体" w:hAnsi="宋体"/>
                <w:szCs w:val="21"/>
                <w:highlight w:val="none"/>
                <w:lang w:val="en-US" w:eastAsia="zh-CN"/>
              </w:rPr>
              <w:t>1</w:t>
            </w:r>
            <w:r>
              <w:rPr>
                <w:rFonts w:ascii="宋体" w:hAnsi="宋体"/>
                <w:szCs w:val="21"/>
                <w:highlight w:val="none"/>
              </w:rPr>
              <w:t>日</w:t>
            </w:r>
            <w:r>
              <w:rPr>
                <w:rFonts w:hint="eastAsia" w:ascii="宋体" w:hAnsi="宋体"/>
                <w:szCs w:val="21"/>
                <w:highlight w:val="none"/>
              </w:rPr>
              <w:t>至202</w:t>
            </w:r>
            <w:r>
              <w:rPr>
                <w:rFonts w:hint="eastAsia" w:ascii="宋体" w:hAnsi="宋体"/>
                <w:szCs w:val="21"/>
                <w:highlight w:val="none"/>
                <w:lang w:val="en-US" w:eastAsia="zh-CN"/>
              </w:rPr>
              <w:t>8</w:t>
            </w:r>
            <w:r>
              <w:rPr>
                <w:rFonts w:hint="eastAsia" w:ascii="宋体" w:hAnsi="宋体"/>
                <w:szCs w:val="21"/>
                <w:highlight w:val="none"/>
              </w:rPr>
              <w:t>年</w:t>
            </w:r>
            <w:r>
              <w:rPr>
                <w:rFonts w:hint="eastAsia" w:ascii="宋体" w:hAnsi="宋体"/>
                <w:szCs w:val="21"/>
                <w:highlight w:val="none"/>
                <w:lang w:val="en-US" w:eastAsia="zh-CN"/>
              </w:rPr>
              <w:t>10</w:t>
            </w:r>
            <w:r>
              <w:rPr>
                <w:rFonts w:hint="eastAsia" w:ascii="宋体" w:hAnsi="宋体"/>
                <w:szCs w:val="21"/>
                <w:highlight w:val="none"/>
              </w:rPr>
              <w:t>月3</w:t>
            </w:r>
            <w:r>
              <w:rPr>
                <w:rFonts w:hint="eastAsia" w:ascii="宋体" w:hAnsi="宋体"/>
                <w:szCs w:val="21"/>
                <w:highlight w:val="none"/>
                <w:lang w:val="en-US" w:eastAsia="zh-CN"/>
              </w:rPr>
              <w:t>1</w:t>
            </w:r>
            <w:r>
              <w:rPr>
                <w:rFonts w:hint="eastAsia" w:ascii="宋体" w:hAnsi="宋体"/>
                <w:szCs w:val="21"/>
                <w:highlight w:val="none"/>
              </w:rPr>
              <w:t>日</w:t>
            </w:r>
            <w:r>
              <w:rPr>
                <w:rFonts w:hint="eastAsia" w:ascii="宋体" w:hAnsi="宋体"/>
                <w:szCs w:val="21"/>
                <w:highlight w:val="none"/>
                <w:lang w:eastAsia="zh-CN"/>
              </w:rPr>
              <w:t>，</w:t>
            </w:r>
            <w:r>
              <w:rPr>
                <w:rFonts w:hint="eastAsia" w:ascii="宋体" w:hAnsi="宋体"/>
                <w:szCs w:val="21"/>
                <w:highlight w:val="none"/>
                <w:lang w:val="en-US" w:eastAsia="zh-CN"/>
              </w:rPr>
              <w:t>共730日历天</w:t>
            </w:r>
          </w:p>
        </w:tc>
        <w:tc>
          <w:tcPr>
            <w:tcW w:w="1531" w:type="pct"/>
            <w:noWrap w:val="0"/>
            <w:vAlign w:val="center"/>
          </w:tcPr>
          <w:p w14:paraId="0D946E85">
            <w:pPr>
              <w:adjustRightInd w:val="0"/>
              <w:snapToGrid w:val="0"/>
              <w:jc w:val="center"/>
              <w:rPr>
                <w:rFonts w:hint="eastAsia" w:ascii="宋体" w:hAnsi="宋体"/>
                <w:szCs w:val="21"/>
              </w:rPr>
            </w:pPr>
            <w:r>
              <w:rPr>
                <w:rFonts w:hint="eastAsia" w:ascii="宋体" w:hAnsi="宋体"/>
                <w:szCs w:val="21"/>
              </w:rPr>
              <w:t>以《吉林省财政厅 吉林省物价局 文件关于进一步明确普通公路路产赔(补)偿、占用费收费项目及标准的通知》（吉财非税[2009]866 号）规定的“吉林省普通公路路产赔（补）偿、占用费标准”为基数，折扣系数不得高于1。</w:t>
            </w:r>
          </w:p>
        </w:tc>
      </w:tr>
      <w:bookmarkEnd w:id="1"/>
      <w:bookmarkEnd w:id="2"/>
    </w:tbl>
    <w:p w14:paraId="5F39B10B">
      <w:pPr>
        <w:keepNext w:val="0"/>
        <w:keepLines w:val="0"/>
        <w:pageBreakBefore w:val="0"/>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szCs w:val="21"/>
        </w:rPr>
      </w:pPr>
      <w:bookmarkStart w:id="3" w:name="_Toc455238557"/>
      <w:r>
        <w:rPr>
          <w:rFonts w:hint="eastAsia" w:ascii="宋体" w:hAnsi="宋体"/>
          <w:szCs w:val="21"/>
        </w:rPr>
        <w:t>3</w:t>
      </w:r>
      <w:r>
        <w:rPr>
          <w:rFonts w:ascii="宋体" w:hAnsi="宋体"/>
          <w:szCs w:val="21"/>
        </w:rPr>
        <w:t>．投标人资格</w:t>
      </w:r>
      <w:r>
        <w:rPr>
          <w:rFonts w:hint="eastAsia" w:ascii="宋体" w:hAnsi="宋体"/>
          <w:szCs w:val="21"/>
        </w:rPr>
        <w:t>要求</w:t>
      </w:r>
      <w:bookmarkEnd w:id="3"/>
    </w:p>
    <w:p w14:paraId="5BDF7AE4">
      <w:pPr>
        <w:keepNext w:val="0"/>
        <w:keepLines w:val="0"/>
        <w:pageBreakBefore w:val="0"/>
        <w:kinsoku/>
        <w:wordWrap/>
        <w:overflowPunct/>
        <w:topLinePunct w:val="0"/>
        <w:autoSpaceDE/>
        <w:autoSpaceDN/>
        <w:bidi w:val="0"/>
        <w:snapToGrid w:val="0"/>
        <w:spacing w:line="360" w:lineRule="exact"/>
        <w:ind w:firstLine="420" w:firstLineChars="200"/>
        <w:jc w:val="left"/>
        <w:textAlignment w:val="auto"/>
        <w:rPr>
          <w:rFonts w:ascii="宋体" w:hAnsi="宋体"/>
          <w:szCs w:val="21"/>
        </w:rPr>
      </w:pPr>
      <w:bookmarkStart w:id="4" w:name="_Toc455238559"/>
      <w:bookmarkStart w:id="5" w:name="_Toc452639674"/>
      <w:bookmarkStart w:id="6" w:name="_Toc452639770"/>
      <w:r>
        <w:rPr>
          <w:rFonts w:hint="eastAsia" w:ascii="宋体" w:hAnsi="宋体"/>
          <w:szCs w:val="21"/>
        </w:rPr>
        <w:t>3.1本次招标要求投标人具有交通运输主管部门颁发的</w:t>
      </w:r>
      <w:r>
        <w:rPr>
          <w:rFonts w:hint="eastAsia" w:ascii="宋体" w:hAnsi="宋体" w:cs="宋体"/>
          <w:szCs w:val="21"/>
          <w:highlight w:val="none"/>
          <w:lang w:val="en-US" w:eastAsia="zh-CN"/>
        </w:rPr>
        <w:t>交通安全设施养护资质</w:t>
      </w:r>
      <w:r>
        <w:rPr>
          <w:rFonts w:hint="eastAsia" w:ascii="宋体" w:hAnsi="宋体" w:eastAsia="宋体" w:cs="宋体"/>
          <w:i w:val="0"/>
          <w:iCs w:val="0"/>
          <w:caps w:val="0"/>
          <w:color w:val="000000"/>
          <w:spacing w:val="0"/>
          <w:sz w:val="21"/>
          <w:szCs w:val="21"/>
          <w:highlight w:val="none"/>
          <w:shd w:val="clear" w:color="auto" w:fill="FFFFFF"/>
        </w:rPr>
        <w:t>（可以承担各等级公路交通安全设施的各类养护工程）</w:t>
      </w:r>
      <w:r>
        <w:rPr>
          <w:rFonts w:hint="eastAsia" w:ascii="宋体" w:hAnsi="宋体" w:cs="宋体"/>
          <w:i w:val="0"/>
          <w:iCs w:val="0"/>
          <w:caps w:val="0"/>
          <w:color w:val="000000"/>
          <w:spacing w:val="0"/>
          <w:sz w:val="21"/>
          <w:szCs w:val="21"/>
          <w:highlight w:val="none"/>
          <w:shd w:val="clear" w:color="auto" w:fill="FFFFFF"/>
          <w:lang w:val="en-US" w:eastAsia="zh-CN"/>
        </w:rPr>
        <w:t>或</w:t>
      </w:r>
      <w:r>
        <w:rPr>
          <w:rFonts w:hint="eastAsia" w:ascii="宋体" w:hAnsi="宋体" w:cs="宋体"/>
          <w:szCs w:val="21"/>
          <w:highlight w:val="none"/>
          <w:lang w:val="en-US" w:eastAsia="zh-CN"/>
        </w:rPr>
        <w:t>（可以承担二级及以下交通安全设施的各类养护工程）</w:t>
      </w:r>
      <w:r>
        <w:rPr>
          <w:rFonts w:hint="eastAsia" w:ascii="宋体" w:hAnsi="宋体"/>
          <w:color w:val="000000"/>
          <w:szCs w:val="21"/>
          <w:shd w:val="clear" w:color="auto" w:fill="FFFFFF"/>
        </w:rPr>
        <w:t>，</w:t>
      </w:r>
      <w:r>
        <w:rPr>
          <w:rFonts w:hint="eastAsia" w:ascii="宋体" w:hAnsi="宋体"/>
          <w:szCs w:val="21"/>
        </w:rPr>
        <w:t>并在人员、设备等方面具有相应的服务能力。</w:t>
      </w:r>
    </w:p>
    <w:p w14:paraId="75D7695A">
      <w:pPr>
        <w:keepNext w:val="0"/>
        <w:keepLines w:val="0"/>
        <w:pageBreakBefore w:val="0"/>
        <w:widowControl/>
        <w:shd w:val="clear" w:color="auto" w:fill="FFFFFF"/>
        <w:kinsoku/>
        <w:wordWrap/>
        <w:overflowPunct/>
        <w:topLinePunct w:val="0"/>
        <w:autoSpaceDE/>
        <w:autoSpaceDN/>
        <w:bidi w:val="0"/>
        <w:snapToGrid w:val="0"/>
        <w:spacing w:line="360" w:lineRule="exact"/>
        <w:ind w:firstLine="420" w:firstLineChars="200"/>
        <w:jc w:val="left"/>
        <w:textAlignment w:val="auto"/>
        <w:rPr>
          <w:rFonts w:hint="eastAsia" w:ascii="宋体" w:hAnsi="宋体" w:cs="宋体"/>
          <w:kern w:val="0"/>
          <w:szCs w:val="21"/>
          <w:shd w:val="clear" w:color="auto" w:fill="FFFFFF"/>
          <w:lang w:bidi="ar"/>
        </w:rPr>
      </w:pPr>
      <w:r>
        <w:rPr>
          <w:rFonts w:hint="eastAsia" w:ascii="宋体" w:hAnsi="宋体" w:cs="宋体"/>
          <w:kern w:val="0"/>
          <w:szCs w:val="21"/>
          <w:shd w:val="clear" w:color="auto" w:fill="FFFFFF"/>
          <w:lang w:bidi="ar"/>
        </w:rPr>
        <w:t>3.2本次招标不接受联合体投标。</w:t>
      </w:r>
    </w:p>
    <w:p w14:paraId="516BA53A">
      <w:pPr>
        <w:keepNext w:val="0"/>
        <w:keepLines w:val="0"/>
        <w:pageBreakBefore w:val="0"/>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szCs w:val="21"/>
        </w:rPr>
      </w:pPr>
      <w:r>
        <w:rPr>
          <w:rFonts w:hint="eastAsia" w:ascii="宋体" w:hAnsi="宋体"/>
          <w:szCs w:val="21"/>
        </w:rPr>
        <w:t>3.3与招标人存在利害关系可能影响招标公正性的单位，不得参加投标。单位负责人为同一人或存在控股、管理关系的不同单位，不得同时参加同一标段投标，否则，相关投标均无效。</w:t>
      </w:r>
    </w:p>
    <w:p w14:paraId="6CE9DABF">
      <w:pPr>
        <w:keepNext w:val="0"/>
        <w:keepLines w:val="0"/>
        <w:pageBreakBefore w:val="0"/>
        <w:kinsoku/>
        <w:wordWrap/>
        <w:overflowPunct/>
        <w:topLinePunct w:val="0"/>
        <w:autoSpaceDE/>
        <w:autoSpaceDN/>
        <w:bidi w:val="0"/>
        <w:adjustRightInd w:val="0"/>
        <w:snapToGrid w:val="0"/>
        <w:spacing w:line="360" w:lineRule="exact"/>
        <w:ind w:firstLine="420" w:firstLineChars="200"/>
        <w:jc w:val="left"/>
        <w:textAlignment w:val="auto"/>
        <w:rPr>
          <w:rFonts w:hint="eastAsia" w:ascii="宋体" w:hAnsi="宋体"/>
          <w:szCs w:val="21"/>
        </w:rPr>
      </w:pPr>
      <w:r>
        <w:rPr>
          <w:rFonts w:hint="eastAsia" w:ascii="宋体" w:hAnsi="宋体"/>
          <w:szCs w:val="21"/>
        </w:rPr>
        <w:t>3.4在“信用中国”网站（http://www.creditchina.gov.cn/）中被列入失信被执行人名单的投标人，不得参加投标。</w:t>
      </w:r>
    </w:p>
    <w:bookmarkEnd w:id="4"/>
    <w:bookmarkEnd w:id="5"/>
    <w:bookmarkEnd w:id="6"/>
    <w:p w14:paraId="50969DDF">
      <w:pPr>
        <w:keepNext w:val="0"/>
        <w:keepLines w:val="0"/>
        <w:pageBreakBefore w:val="0"/>
        <w:widowControl w:val="0"/>
        <w:tabs>
          <w:tab w:val="left" w:pos="709"/>
        </w:tabs>
        <w:kinsoku/>
        <w:wordWrap/>
        <w:overflowPunct/>
        <w:topLinePunct w:val="0"/>
        <w:autoSpaceDE/>
        <w:autoSpaceDN/>
        <w:bidi w:val="0"/>
        <w:adjustRightInd/>
        <w:snapToGrid/>
        <w:spacing w:line="360" w:lineRule="exact"/>
        <w:ind w:left="0" w:leftChars="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最低资格条件</w:t>
      </w:r>
    </w:p>
    <w:p w14:paraId="6BE722EE">
      <w:pPr>
        <w:pStyle w:val="12"/>
        <w:keepNext w:val="0"/>
        <w:pageBreakBefore w:val="0"/>
        <w:kinsoku/>
        <w:wordWrap/>
        <w:overflowPunct/>
        <w:topLinePunct w:val="0"/>
        <w:bidi w:val="0"/>
        <w:spacing w:line="360" w:lineRule="exact"/>
        <w:ind w:left="0"/>
        <w:jc w:val="center"/>
        <w:textAlignment w:val="auto"/>
        <w:rPr>
          <w:rFonts w:hint="eastAsia" w:ascii="宋体" w:hAnsi="宋体" w:eastAsia="宋体" w:cs="宋体"/>
          <w:b w:val="0"/>
          <w:bCs w:val="0"/>
          <w:color w:val="auto"/>
          <w:sz w:val="21"/>
          <w:szCs w:val="21"/>
          <w:highlight w:val="none"/>
        </w:rPr>
      </w:pPr>
      <w:bookmarkStart w:id="7" w:name="_Toc30047"/>
      <w:r>
        <w:rPr>
          <w:rFonts w:hint="eastAsia" w:ascii="宋体" w:hAnsi="宋体" w:eastAsia="宋体" w:cs="宋体"/>
          <w:b w:val="0"/>
          <w:bCs w:val="0"/>
          <w:color w:val="auto"/>
          <w:sz w:val="21"/>
          <w:szCs w:val="21"/>
          <w:highlight w:val="none"/>
        </w:rPr>
        <w:t>附录1  资格审查条件</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资质最低条件</w:t>
      </w:r>
      <w:r>
        <w:rPr>
          <w:rFonts w:hint="eastAsia" w:ascii="宋体" w:hAnsi="宋体" w:eastAsia="宋体" w:cs="宋体"/>
          <w:b w:val="0"/>
          <w:bCs w:val="0"/>
          <w:color w:val="auto"/>
          <w:sz w:val="21"/>
          <w:szCs w:val="21"/>
          <w:highlight w:val="none"/>
          <w:lang w:eastAsia="zh-CN"/>
        </w:rPr>
        <w:t>）</w:t>
      </w:r>
    </w:p>
    <w:tbl>
      <w:tblPr>
        <w:tblStyle w:val="6"/>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8"/>
      </w:tblGrid>
      <w:tr w14:paraId="7265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286" w:type="dxa"/>
            <w:noWrap w:val="0"/>
            <w:vAlign w:val="center"/>
          </w:tcPr>
          <w:p w14:paraId="03C0212E">
            <w:pPr>
              <w:pStyle w:val="12"/>
              <w:spacing w:line="4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企业资质等级要求</w:t>
            </w:r>
          </w:p>
        </w:tc>
      </w:tr>
      <w:tr w14:paraId="42F4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9286" w:type="dxa"/>
            <w:noWrap w:val="0"/>
            <w:vAlign w:val="center"/>
          </w:tcPr>
          <w:p w14:paraId="513FDE4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rPr>
              <w:t>具有交通运输主管部门颁发</w:t>
            </w:r>
            <w:r>
              <w:rPr>
                <w:rFonts w:hint="eastAsia" w:ascii="宋体" w:hAnsi="宋体" w:eastAsia="宋体" w:cs="宋体"/>
                <w:b w:val="0"/>
                <w:bCs w:val="0"/>
                <w:sz w:val="21"/>
                <w:szCs w:val="21"/>
                <w:lang w:eastAsia="zh-CN"/>
              </w:rPr>
              <w:t>的</w:t>
            </w:r>
            <w:r>
              <w:rPr>
                <w:rFonts w:hint="eastAsia" w:ascii="宋体" w:hAnsi="宋体" w:eastAsia="宋体" w:cs="宋体"/>
                <w:b w:val="0"/>
                <w:bCs w:val="0"/>
                <w:sz w:val="21"/>
                <w:szCs w:val="21"/>
                <w:highlight w:val="none"/>
                <w:lang w:val="en-US" w:eastAsia="zh-CN"/>
              </w:rPr>
              <w:t>交通安全设施养护资质</w:t>
            </w:r>
            <w:r>
              <w:rPr>
                <w:rFonts w:hint="eastAsia" w:ascii="宋体" w:hAnsi="宋体" w:eastAsia="宋体" w:cs="宋体"/>
                <w:b w:val="0"/>
                <w:bCs w:val="0"/>
                <w:i w:val="0"/>
                <w:iCs w:val="0"/>
                <w:caps w:val="0"/>
                <w:color w:val="000000"/>
                <w:spacing w:val="0"/>
                <w:sz w:val="21"/>
                <w:szCs w:val="21"/>
                <w:highlight w:val="none"/>
                <w:shd w:val="clear" w:color="auto" w:fill="FFFFFF"/>
              </w:rPr>
              <w:t>（可以承担各等级公路交通安全设施的各类养护工程）</w:t>
            </w:r>
            <w:r>
              <w:rPr>
                <w:rFonts w:hint="eastAsia" w:ascii="宋体" w:hAnsi="宋体" w:eastAsia="宋体" w:cs="宋体"/>
                <w:b w:val="0"/>
                <w:bCs w:val="0"/>
                <w:i w:val="0"/>
                <w:iCs w:val="0"/>
                <w:caps w:val="0"/>
                <w:color w:val="000000"/>
                <w:spacing w:val="0"/>
                <w:sz w:val="21"/>
                <w:szCs w:val="21"/>
                <w:highlight w:val="none"/>
                <w:shd w:val="clear" w:color="auto" w:fill="FFFFFF"/>
                <w:lang w:val="en-US" w:eastAsia="zh-CN"/>
              </w:rPr>
              <w:t>或</w:t>
            </w:r>
            <w:r>
              <w:rPr>
                <w:rFonts w:hint="eastAsia" w:ascii="宋体" w:hAnsi="宋体" w:eastAsia="宋体" w:cs="宋体"/>
                <w:b w:val="0"/>
                <w:bCs w:val="0"/>
                <w:sz w:val="21"/>
                <w:szCs w:val="21"/>
                <w:highlight w:val="none"/>
                <w:lang w:val="en-US" w:eastAsia="zh-CN"/>
              </w:rPr>
              <w:t>（可以承担二级及以下交通安全设施的各类养护工程）</w:t>
            </w:r>
          </w:p>
        </w:tc>
      </w:tr>
    </w:tbl>
    <w:p w14:paraId="6BEE4673">
      <w:pPr>
        <w:pStyle w:val="12"/>
        <w:keepNext w:val="0"/>
        <w:pageBreakBefore w:val="0"/>
        <w:kinsoku/>
        <w:wordWrap/>
        <w:overflowPunct/>
        <w:topLinePunct w:val="0"/>
        <w:bidi w:val="0"/>
        <w:spacing w:line="360" w:lineRule="exact"/>
        <w:ind w:left="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附录2</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 xml:space="preserve"> 资格审查条件</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业绩最低要求</w:t>
      </w:r>
      <w:r>
        <w:rPr>
          <w:rFonts w:hint="eastAsia" w:ascii="宋体" w:hAnsi="宋体" w:eastAsia="宋体" w:cs="宋体"/>
          <w:b w:val="0"/>
          <w:bCs w:val="0"/>
          <w:color w:val="auto"/>
          <w:sz w:val="21"/>
          <w:szCs w:val="21"/>
          <w:highlight w:val="none"/>
          <w:lang w:eastAsia="zh-CN"/>
        </w:rPr>
        <w:t>）</w:t>
      </w:r>
    </w:p>
    <w:tbl>
      <w:tblPr>
        <w:tblStyle w:val="6"/>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8"/>
      </w:tblGrid>
      <w:tr w14:paraId="1AB5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277" w:type="dxa"/>
            <w:noWrap w:val="0"/>
            <w:vAlign w:val="center"/>
          </w:tcPr>
          <w:p w14:paraId="1FF49FB1">
            <w:pPr>
              <w:pStyle w:val="12"/>
              <w:spacing w:line="4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业绩要求</w:t>
            </w:r>
          </w:p>
        </w:tc>
      </w:tr>
      <w:tr w14:paraId="67B5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9277" w:type="dxa"/>
            <w:noWrap w:val="0"/>
            <w:vAlign w:val="center"/>
          </w:tcPr>
          <w:p w14:paraId="47752424">
            <w:pPr>
              <w:widowControl/>
              <w:spacing w:line="400" w:lineRule="exact"/>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val="en-US" w:eastAsia="zh-CN"/>
              </w:rPr>
              <w:t>无</w:t>
            </w:r>
          </w:p>
        </w:tc>
      </w:tr>
    </w:tbl>
    <w:p w14:paraId="193BCFF2">
      <w:pPr>
        <w:pStyle w:val="12"/>
        <w:keepNext w:val="0"/>
        <w:pageBreakBefore w:val="0"/>
        <w:kinsoku/>
        <w:wordWrap/>
        <w:overflowPunct/>
        <w:topLinePunct w:val="0"/>
        <w:bidi w:val="0"/>
        <w:spacing w:line="360" w:lineRule="exact"/>
        <w:ind w:left="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附录3  资格审查条件</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信誉最低要求</w:t>
      </w:r>
      <w:r>
        <w:rPr>
          <w:rFonts w:hint="eastAsia" w:ascii="宋体" w:hAnsi="宋体" w:eastAsia="宋体" w:cs="宋体"/>
          <w:b w:val="0"/>
          <w:bCs w:val="0"/>
          <w:color w:val="auto"/>
          <w:sz w:val="21"/>
          <w:szCs w:val="21"/>
          <w:highlight w:val="none"/>
          <w:lang w:eastAsia="zh-CN"/>
        </w:rPr>
        <w:t>）</w:t>
      </w:r>
    </w:p>
    <w:tbl>
      <w:tblPr>
        <w:tblStyle w:val="6"/>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8"/>
      </w:tblGrid>
      <w:tr w14:paraId="6711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9286" w:type="dxa"/>
            <w:noWrap w:val="0"/>
            <w:vAlign w:val="center"/>
          </w:tcPr>
          <w:p w14:paraId="659F6DE4">
            <w:pPr>
              <w:pStyle w:val="12"/>
              <w:keepNext w:val="0"/>
              <w:pageBreakBefore w:val="0"/>
              <w:kinsoku/>
              <w:wordWrap/>
              <w:overflowPunct/>
              <w:topLinePunct w:val="0"/>
              <w:bidi w:val="0"/>
              <w:spacing w:line="360" w:lineRule="exact"/>
              <w:ind w:left="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信 誉 要 求</w:t>
            </w:r>
          </w:p>
        </w:tc>
      </w:tr>
      <w:tr w14:paraId="565C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286" w:type="dxa"/>
            <w:noWrap w:val="0"/>
            <w:vAlign w:val="center"/>
          </w:tcPr>
          <w:p w14:paraId="1C38C9A3">
            <w:pPr>
              <w:keepNext w:val="0"/>
              <w:pageBreakBefore w:val="0"/>
              <w:widowControl/>
              <w:kinsoku/>
              <w:wordWrap/>
              <w:overflowPunct/>
              <w:topLinePunct w:val="0"/>
              <w:bidi w:val="0"/>
              <w:spacing w:line="360" w:lineRule="exact"/>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无</w:t>
            </w:r>
          </w:p>
        </w:tc>
      </w:tr>
    </w:tbl>
    <w:p w14:paraId="2A35AB78">
      <w:pPr>
        <w:pStyle w:val="12"/>
        <w:keepNext w:val="0"/>
        <w:pageBreakBefore w:val="0"/>
        <w:kinsoku/>
        <w:wordWrap/>
        <w:overflowPunct/>
        <w:topLinePunct w:val="0"/>
        <w:bidi w:val="0"/>
        <w:spacing w:line="360" w:lineRule="exact"/>
        <w:ind w:left="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附录4  资格审查条件</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项目负责人最低要求</w:t>
      </w:r>
      <w:r>
        <w:rPr>
          <w:rFonts w:hint="eastAsia" w:ascii="宋体" w:hAnsi="宋体" w:eastAsia="宋体" w:cs="宋体"/>
          <w:b w:val="0"/>
          <w:bCs w:val="0"/>
          <w:color w:val="auto"/>
          <w:sz w:val="21"/>
          <w:szCs w:val="21"/>
          <w:highlight w:val="none"/>
          <w:lang w:eastAsia="zh-CN"/>
        </w:rPr>
        <w:t>）</w:t>
      </w:r>
    </w:p>
    <w:tbl>
      <w:tblPr>
        <w:tblStyle w:val="6"/>
        <w:tblW w:w="8644"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134"/>
        <w:gridCol w:w="5984"/>
      </w:tblGrid>
      <w:tr w14:paraId="6732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526" w:type="dxa"/>
            <w:noWrap w:val="0"/>
            <w:vAlign w:val="center"/>
          </w:tcPr>
          <w:p w14:paraId="11E5A304">
            <w:pPr>
              <w:pStyle w:val="12"/>
              <w:spacing w:line="4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sz w:val="21"/>
                <w:szCs w:val="21"/>
              </w:rPr>
              <w:t>人员</w:t>
            </w:r>
            <w:r>
              <w:rPr>
                <w:rStyle w:val="9"/>
                <w:rFonts w:hint="eastAsia" w:ascii="宋体" w:hAnsi="宋体" w:eastAsia="宋体" w:cs="宋体"/>
                <w:b w:val="0"/>
                <w:bCs w:val="0"/>
                <w:sz w:val="21"/>
                <w:szCs w:val="21"/>
              </w:rPr>
              <w:footnoteReference w:id="0"/>
            </w:r>
          </w:p>
        </w:tc>
        <w:tc>
          <w:tcPr>
            <w:tcW w:w="1134" w:type="dxa"/>
            <w:noWrap w:val="0"/>
            <w:vAlign w:val="center"/>
          </w:tcPr>
          <w:p w14:paraId="6BCC647E">
            <w:pPr>
              <w:pStyle w:val="12"/>
              <w:spacing w:line="4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数  量</w:t>
            </w:r>
          </w:p>
        </w:tc>
        <w:tc>
          <w:tcPr>
            <w:tcW w:w="5984" w:type="dxa"/>
            <w:noWrap w:val="0"/>
            <w:vAlign w:val="center"/>
          </w:tcPr>
          <w:p w14:paraId="5FBC9432">
            <w:pPr>
              <w:pStyle w:val="12"/>
              <w:spacing w:line="4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资 格 要 求</w:t>
            </w:r>
          </w:p>
        </w:tc>
      </w:tr>
      <w:tr w14:paraId="2F457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526" w:type="dxa"/>
            <w:noWrap w:val="0"/>
            <w:vAlign w:val="center"/>
          </w:tcPr>
          <w:p w14:paraId="15B65C65">
            <w:pPr>
              <w:pStyle w:val="12"/>
              <w:keepNext w:val="0"/>
              <w:keepLines w:val="0"/>
              <w:pageBreakBefore w:val="0"/>
              <w:widowControl w:val="0"/>
              <w:kinsoku/>
              <w:wordWrap/>
              <w:overflowPunct/>
              <w:topLinePunct w:val="0"/>
              <w:bidi w:val="0"/>
              <w:spacing w:line="360" w:lineRule="exact"/>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项目负责人</w:t>
            </w:r>
          </w:p>
        </w:tc>
        <w:tc>
          <w:tcPr>
            <w:tcW w:w="1134" w:type="dxa"/>
            <w:noWrap w:val="0"/>
            <w:vAlign w:val="center"/>
          </w:tcPr>
          <w:p w14:paraId="425509DD">
            <w:pPr>
              <w:pStyle w:val="12"/>
              <w:keepNext w:val="0"/>
              <w:keepLines w:val="0"/>
              <w:pageBreakBefore w:val="0"/>
              <w:widowControl w:val="0"/>
              <w:kinsoku/>
              <w:wordWrap/>
              <w:overflowPunct/>
              <w:topLinePunct w:val="0"/>
              <w:bidi w:val="0"/>
              <w:spacing w:line="360" w:lineRule="exact"/>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p>
        </w:tc>
        <w:tc>
          <w:tcPr>
            <w:tcW w:w="5984" w:type="dxa"/>
            <w:noWrap w:val="0"/>
            <w:vAlign w:val="center"/>
          </w:tcPr>
          <w:p w14:paraId="1147889D">
            <w:pPr>
              <w:keepNext w:val="0"/>
              <w:keepLines w:val="0"/>
              <w:pageBreakBefore w:val="0"/>
              <w:widowControl w:val="0"/>
              <w:kinsoku/>
              <w:wordWrap/>
              <w:overflowPunct/>
              <w:topLinePunct w:val="0"/>
              <w:bidi w:val="0"/>
              <w:snapToGrid w:val="0"/>
              <w:spacing w:line="360" w:lineRule="exact"/>
              <w:textAlignment w:val="auto"/>
              <w:rPr>
                <w:rFonts w:hint="eastAsia" w:ascii="宋体" w:hAnsi="宋体" w:eastAsia="宋体" w:cs="宋体"/>
                <w:b w:val="0"/>
                <w:bCs w:val="0"/>
                <w:color w:val="000000"/>
                <w:sz w:val="21"/>
                <w:szCs w:val="21"/>
                <w:shd w:val="clear" w:color="auto" w:fill="FFFFFF"/>
              </w:rPr>
            </w:pPr>
            <w:r>
              <w:rPr>
                <w:rFonts w:hint="eastAsia" w:ascii="宋体" w:hAnsi="宋体" w:eastAsia="宋体" w:cs="宋体"/>
                <w:b w:val="0"/>
                <w:bCs w:val="0"/>
                <w:color w:val="000000"/>
                <w:sz w:val="21"/>
                <w:szCs w:val="21"/>
                <w:shd w:val="clear" w:color="auto" w:fill="FFFFFF"/>
              </w:rPr>
              <w:t>（1）投标人自有人员</w:t>
            </w:r>
            <w:r>
              <w:rPr>
                <w:rFonts w:hint="eastAsia" w:ascii="宋体" w:hAnsi="宋体" w:eastAsia="宋体" w:cs="宋体"/>
                <w:b w:val="0"/>
                <w:bCs w:val="0"/>
                <w:color w:val="000000"/>
                <w:sz w:val="21"/>
                <w:szCs w:val="21"/>
                <w:shd w:val="clear" w:color="auto" w:fill="FFFFFF"/>
                <w:vertAlign w:val="superscript"/>
              </w:rPr>
              <w:footnoteReference w:id="1"/>
            </w:r>
            <w:r>
              <w:rPr>
                <w:rFonts w:hint="eastAsia" w:ascii="宋体" w:hAnsi="宋体" w:eastAsia="宋体" w:cs="宋体"/>
                <w:b w:val="0"/>
                <w:bCs w:val="0"/>
                <w:color w:val="000000"/>
                <w:sz w:val="21"/>
                <w:szCs w:val="21"/>
                <w:shd w:val="clear" w:color="auto" w:fill="FFFFFF"/>
              </w:rPr>
              <w:t>；</w:t>
            </w:r>
          </w:p>
          <w:p w14:paraId="34CADDF1">
            <w:pPr>
              <w:keepNext w:val="0"/>
              <w:keepLines w:val="0"/>
              <w:pageBreakBefore w:val="0"/>
              <w:widowControl w:val="0"/>
              <w:kinsoku/>
              <w:wordWrap/>
              <w:overflowPunct/>
              <w:topLinePunct w:val="0"/>
              <w:bidi w:val="0"/>
              <w:adjustRightInd w:val="0"/>
              <w:snapToGrid w:val="0"/>
              <w:spacing w:line="360" w:lineRule="exac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color w:val="000000"/>
                <w:sz w:val="21"/>
                <w:szCs w:val="21"/>
                <w:shd w:val="clear" w:color="auto" w:fill="FFFFFF"/>
              </w:rPr>
              <w:t>（2）具有公路工程专业二级及以上注册建造证书或相关专业</w:t>
            </w:r>
            <w:r>
              <w:rPr>
                <w:rFonts w:hint="eastAsia" w:ascii="宋体" w:hAnsi="宋体" w:eastAsia="宋体" w:cs="宋体"/>
                <w:b w:val="0"/>
                <w:bCs w:val="0"/>
                <w:color w:val="000000"/>
                <w:sz w:val="21"/>
                <w:szCs w:val="21"/>
                <w:shd w:val="clear" w:color="auto" w:fill="FFFFFF"/>
                <w:vertAlign w:val="superscript"/>
              </w:rPr>
              <w:footnoteReference w:id="2"/>
            </w:r>
            <w:r>
              <w:rPr>
                <w:rFonts w:hint="eastAsia" w:ascii="宋体" w:hAnsi="宋体" w:eastAsia="宋体" w:cs="宋体"/>
                <w:b w:val="0"/>
                <w:bCs w:val="0"/>
                <w:color w:val="000000"/>
                <w:sz w:val="21"/>
                <w:szCs w:val="21"/>
                <w:shd w:val="clear" w:color="auto" w:fill="FFFFFF"/>
              </w:rPr>
              <w:t>中级及以上职称。</w:t>
            </w:r>
          </w:p>
        </w:tc>
      </w:tr>
    </w:tbl>
    <w:p w14:paraId="1020DC1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sz w:val="21"/>
          <w:szCs w:val="21"/>
          <w:highlight w:val="none"/>
        </w:rPr>
        <w:br w:type="page"/>
      </w:r>
      <w:r>
        <w:rPr>
          <w:rFonts w:hint="eastAsia" w:ascii="宋体" w:hAnsi="宋体" w:eastAsia="宋体" w:cs="宋体"/>
          <w:b w:val="0"/>
          <w:bCs w:val="0"/>
          <w:color w:val="auto"/>
          <w:sz w:val="21"/>
          <w:szCs w:val="21"/>
          <w:highlight w:val="none"/>
          <w:lang w:val="en-US" w:eastAsia="zh-CN"/>
        </w:rPr>
        <w:t>5.</w:t>
      </w:r>
      <w:bookmarkEnd w:id="7"/>
      <w:r>
        <w:rPr>
          <w:rFonts w:hint="eastAsia" w:ascii="宋体" w:hAnsi="宋体" w:eastAsia="宋体" w:cs="宋体"/>
          <w:b w:val="0"/>
          <w:bCs w:val="0"/>
          <w:color w:val="auto"/>
          <w:sz w:val="21"/>
          <w:szCs w:val="21"/>
          <w:highlight w:val="none"/>
        </w:rPr>
        <w:t>评标办法（综合评估法）</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0" w:type="dxa"/>
          <w:bottom w:w="0" w:type="dxa"/>
          <w:right w:w="0" w:type="dxa"/>
        </w:tblCellMar>
      </w:tblPr>
      <w:tblGrid>
        <w:gridCol w:w="730"/>
        <w:gridCol w:w="1272"/>
        <w:gridCol w:w="7009"/>
      </w:tblGrid>
      <w:tr w14:paraId="0A40C24A">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0" w:type="dxa"/>
            <w:bottom w:w="0" w:type="dxa"/>
            <w:right w:w="0" w:type="dxa"/>
          </w:tblCellMar>
        </w:tblPrEx>
        <w:trPr>
          <w:trHeight w:val="385" w:hRule="exact"/>
          <w:tblHeader/>
          <w:jc w:val="center"/>
        </w:trPr>
        <w:tc>
          <w:tcPr>
            <w:tcW w:w="2002" w:type="dxa"/>
            <w:gridSpan w:val="2"/>
            <w:noWrap w:val="0"/>
            <w:vAlign w:val="center"/>
          </w:tcPr>
          <w:p w14:paraId="0221150E">
            <w:pPr>
              <w:snapToGrid w:val="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条款号</w:t>
            </w:r>
          </w:p>
        </w:tc>
        <w:tc>
          <w:tcPr>
            <w:tcW w:w="7009" w:type="dxa"/>
            <w:noWrap w:val="0"/>
            <w:vAlign w:val="center"/>
          </w:tcPr>
          <w:p w14:paraId="0FEB07DF">
            <w:pPr>
              <w:snapToGrid w:val="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评审因素与评审标准</w:t>
            </w:r>
          </w:p>
        </w:tc>
      </w:tr>
      <w:tr w14:paraId="3D006C5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0" w:type="dxa"/>
            <w:bottom w:w="0" w:type="dxa"/>
            <w:right w:w="0" w:type="dxa"/>
          </w:tblCellMar>
        </w:tblPrEx>
        <w:trPr>
          <w:trHeight w:val="2421" w:hRule="atLeast"/>
          <w:jc w:val="center"/>
        </w:trPr>
        <w:tc>
          <w:tcPr>
            <w:tcW w:w="730" w:type="dxa"/>
            <w:noWrap w:val="0"/>
            <w:vAlign w:val="center"/>
          </w:tcPr>
          <w:p w14:paraId="266798CE">
            <w:pPr>
              <w:snapToGrid w:val="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1</w:t>
            </w:r>
          </w:p>
        </w:tc>
        <w:tc>
          <w:tcPr>
            <w:tcW w:w="1272" w:type="dxa"/>
            <w:noWrap w:val="0"/>
            <w:vAlign w:val="center"/>
          </w:tcPr>
          <w:p w14:paraId="0DCC6F89">
            <w:pPr>
              <w:snapToGrid w:val="0"/>
              <w:ind w:left="113"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评标方法</w:t>
            </w:r>
          </w:p>
        </w:tc>
        <w:tc>
          <w:tcPr>
            <w:tcW w:w="7009" w:type="dxa"/>
            <w:noWrap w:val="0"/>
            <w:vAlign w:val="center"/>
          </w:tcPr>
          <w:p w14:paraId="7C1A2705">
            <w:pPr>
              <w:keepNext w:val="0"/>
              <w:keepLines w:val="0"/>
              <w:pageBreakBefore w:val="0"/>
              <w:widowControl w:val="0"/>
              <w:kinsoku/>
              <w:wordWrap/>
              <w:overflowPunct/>
              <w:topLinePunct w:val="0"/>
              <w:autoSpaceDE/>
              <w:autoSpaceDN/>
              <w:bidi w:val="0"/>
              <w:adjustRightInd/>
              <w:snapToGrid w:val="0"/>
              <w:spacing w:line="380" w:lineRule="exact"/>
              <w:ind w:left="113" w:leftChars="54" w:right="113" w:firstLine="315" w:firstLineChars="15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本次评标采用综合评估法。评标委员会对满足招标文件实质性要求的投标文件，按照本章第2.2款规定的评分标准进行打分，按照综合得分由高至低排序，推荐得分最高者为中标候选人，但投标报价低于其成本的除外。综合评分相等时，评标委员会依次按照以下优先顺序推荐中标候选人：</w:t>
            </w:r>
          </w:p>
          <w:p w14:paraId="374D1213">
            <w:pPr>
              <w:keepNext w:val="0"/>
              <w:keepLines w:val="0"/>
              <w:pageBreakBefore w:val="0"/>
              <w:widowControl w:val="0"/>
              <w:numPr>
                <w:ilvl w:val="0"/>
                <w:numId w:val="1"/>
              </w:numPr>
              <w:tabs>
                <w:tab w:val="left" w:pos="1070"/>
              </w:tabs>
              <w:kinsoku/>
              <w:wordWrap/>
              <w:overflowPunct/>
              <w:topLinePunct w:val="0"/>
              <w:autoSpaceDE/>
              <w:autoSpaceDN/>
              <w:bidi w:val="0"/>
              <w:adjustRightInd/>
              <w:snapToGrid w:val="0"/>
              <w:spacing w:line="380" w:lineRule="exac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shd w:val="clear" w:color="auto" w:fill="FFFFFF"/>
                <w:lang w:bidi="en-US"/>
              </w:rPr>
              <w:t>评标价低的投标人优先；</w:t>
            </w:r>
          </w:p>
          <w:p w14:paraId="1806CABE">
            <w:pPr>
              <w:keepNext w:val="0"/>
              <w:keepLines w:val="0"/>
              <w:pageBreakBefore w:val="0"/>
              <w:widowControl w:val="0"/>
              <w:numPr>
                <w:ilvl w:val="0"/>
                <w:numId w:val="1"/>
              </w:numPr>
              <w:tabs>
                <w:tab w:val="left" w:pos="1078"/>
              </w:tabs>
              <w:kinsoku/>
              <w:wordWrap/>
              <w:overflowPunct/>
              <w:topLinePunct w:val="0"/>
              <w:autoSpaceDE/>
              <w:autoSpaceDN/>
              <w:bidi w:val="0"/>
              <w:adjustRightInd/>
              <w:snapToGrid w:val="0"/>
              <w:spacing w:line="380" w:lineRule="exact"/>
              <w:ind w:left="0" w:firstLine="420"/>
              <w:textAlignment w:val="auto"/>
              <w:rPr>
                <w:rFonts w:hint="eastAsia" w:ascii="宋体" w:hAnsi="宋体" w:eastAsia="宋体" w:cs="宋体"/>
                <w:b w:val="0"/>
                <w:bCs w:val="0"/>
                <w:sz w:val="21"/>
                <w:szCs w:val="21"/>
                <w:shd w:val="clear" w:color="auto" w:fill="FFFFFF"/>
                <w:lang w:bidi="en-US"/>
              </w:rPr>
            </w:pPr>
            <w:r>
              <w:rPr>
                <w:rFonts w:hint="eastAsia" w:ascii="宋体" w:hAnsi="宋体" w:eastAsia="宋体" w:cs="宋体"/>
                <w:b w:val="0"/>
                <w:bCs w:val="0"/>
                <w:sz w:val="21"/>
                <w:szCs w:val="21"/>
                <w:shd w:val="clear" w:color="auto" w:fill="FFFFFF"/>
                <w:lang w:bidi="en-US"/>
              </w:rPr>
              <w:t>被吉林省交通运输主管部门评为较高信用等级的投标人优先</w:t>
            </w:r>
            <w:r>
              <w:rPr>
                <w:rFonts w:hint="eastAsia" w:ascii="宋体" w:hAnsi="宋体" w:eastAsia="宋体" w:cs="宋体"/>
                <w:b w:val="0"/>
                <w:bCs w:val="0"/>
                <w:sz w:val="21"/>
                <w:szCs w:val="21"/>
              </w:rPr>
              <w:t>；</w:t>
            </w:r>
          </w:p>
          <w:p w14:paraId="0B599964">
            <w:pPr>
              <w:keepNext w:val="0"/>
              <w:keepLines w:val="0"/>
              <w:pageBreakBefore w:val="0"/>
              <w:widowControl w:val="0"/>
              <w:numPr>
                <w:ilvl w:val="0"/>
                <w:numId w:val="1"/>
              </w:numPr>
              <w:tabs>
                <w:tab w:val="left" w:pos="1078"/>
              </w:tabs>
              <w:kinsoku/>
              <w:wordWrap/>
              <w:overflowPunct/>
              <w:topLinePunct w:val="0"/>
              <w:autoSpaceDE/>
              <w:autoSpaceDN/>
              <w:bidi w:val="0"/>
              <w:adjustRightInd/>
              <w:snapToGrid w:val="0"/>
              <w:spacing w:line="380" w:lineRule="exact"/>
              <w:textAlignment w:val="auto"/>
              <w:rPr>
                <w:rFonts w:hint="eastAsia" w:ascii="宋体" w:hAnsi="宋体" w:eastAsia="宋体" w:cs="宋体"/>
                <w:b w:val="0"/>
                <w:bCs w:val="0"/>
                <w:sz w:val="21"/>
                <w:szCs w:val="21"/>
                <w:shd w:val="clear" w:color="auto" w:fill="FFFFFF"/>
                <w:lang w:bidi="en-US"/>
              </w:rPr>
            </w:pPr>
            <w:r>
              <w:rPr>
                <w:rFonts w:hint="eastAsia" w:ascii="宋体" w:hAnsi="宋体" w:eastAsia="宋体" w:cs="宋体"/>
                <w:b w:val="0"/>
                <w:bCs w:val="0"/>
                <w:sz w:val="21"/>
                <w:szCs w:val="21"/>
                <w:shd w:val="clear" w:color="auto" w:fill="FFFFFF"/>
                <w:lang w:bidi="en-US"/>
              </w:rPr>
              <w:t>商务和技术得分较高的投标人优先；</w:t>
            </w:r>
          </w:p>
          <w:p w14:paraId="0E21C68A">
            <w:pPr>
              <w:keepNext w:val="0"/>
              <w:keepLines w:val="0"/>
              <w:pageBreakBefore w:val="0"/>
              <w:widowControl w:val="0"/>
              <w:numPr>
                <w:ilvl w:val="0"/>
                <w:numId w:val="1"/>
              </w:numPr>
              <w:tabs>
                <w:tab w:val="left" w:pos="1078"/>
              </w:tabs>
              <w:kinsoku/>
              <w:wordWrap/>
              <w:overflowPunct/>
              <w:topLinePunct w:val="0"/>
              <w:autoSpaceDE/>
              <w:autoSpaceDN/>
              <w:bidi w:val="0"/>
              <w:adjustRightInd/>
              <w:snapToGrid w:val="0"/>
              <w:spacing w:line="380" w:lineRule="exac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评标委员会投票表决。</w:t>
            </w:r>
          </w:p>
        </w:tc>
      </w:tr>
      <w:tr w14:paraId="792FF39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0" w:type="dxa"/>
            <w:bottom w:w="0" w:type="dxa"/>
            <w:right w:w="0" w:type="dxa"/>
          </w:tblCellMar>
        </w:tblPrEx>
        <w:trPr>
          <w:trHeight w:val="169" w:hRule="atLeast"/>
          <w:jc w:val="center"/>
        </w:trPr>
        <w:tc>
          <w:tcPr>
            <w:tcW w:w="730" w:type="dxa"/>
            <w:noWrap w:val="0"/>
            <w:vAlign w:val="center"/>
          </w:tcPr>
          <w:p w14:paraId="5909C678">
            <w:pPr>
              <w:snapToGrid w:val="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2.1.1</w:t>
            </w:r>
          </w:p>
          <w:p w14:paraId="32F522C1">
            <w:pPr>
              <w:snapToGrid w:val="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2.1.3</w:t>
            </w:r>
          </w:p>
        </w:tc>
        <w:tc>
          <w:tcPr>
            <w:tcW w:w="1272" w:type="dxa"/>
            <w:noWrap w:val="0"/>
            <w:vAlign w:val="center"/>
          </w:tcPr>
          <w:p w14:paraId="07E3C456">
            <w:pPr>
              <w:snapToGrid w:val="0"/>
              <w:ind w:left="113"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形式评审与响应性评审标准</w:t>
            </w:r>
          </w:p>
        </w:tc>
        <w:tc>
          <w:tcPr>
            <w:tcW w:w="7009" w:type="dxa"/>
            <w:noWrap w:val="0"/>
            <w:vAlign w:val="center"/>
          </w:tcPr>
          <w:p w14:paraId="6399BB76">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第一个信封（商务及技术文件）评审标准：</w:t>
            </w:r>
          </w:p>
          <w:p w14:paraId="722D07EF">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（1）投标文件按照招标文件规定的格式、内容填写，字迹清晰可辨；</w:t>
            </w:r>
          </w:p>
          <w:p w14:paraId="35135654">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a.投标函按招标文件规定填报了项目名称、编号、补遗书编号（如有）、服务期限、工程质量要求及安全目标；</w:t>
            </w:r>
          </w:p>
          <w:p w14:paraId="71027F65">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b.投标文件组成齐全完整，内容均按规定填写。</w:t>
            </w:r>
          </w:p>
          <w:p w14:paraId="3A8D3A4A">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（2）投标文件上法定代表人或其委托代理人的签字、投标人的单位章盖章齐全，符合招标文件规定。</w:t>
            </w:r>
          </w:p>
          <w:p w14:paraId="50E9921C">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（3）投标人按照招标文件的规定提供了投标保证金：</w:t>
            </w:r>
          </w:p>
          <w:p w14:paraId="767AC05F">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a.投标保证金金额符合招标文件规定的金额，且投标保证金有效期不少于投标有效期；</w:t>
            </w:r>
          </w:p>
          <w:p w14:paraId="3236B936">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b.若投标保证金采用现金或支票形式提交，投标人应在</w:t>
            </w:r>
            <w:r>
              <w:rPr>
                <w:rFonts w:hint="eastAsia" w:ascii="宋体" w:hAnsi="宋体" w:eastAsia="宋体" w:cs="宋体"/>
                <w:b w:val="0"/>
                <w:bCs w:val="0"/>
                <w:sz w:val="21"/>
                <w:szCs w:val="21"/>
                <w:lang w:val="zh-CN"/>
              </w:rPr>
              <w:t>投标</w:t>
            </w:r>
            <w:r>
              <w:rPr>
                <w:rFonts w:hint="eastAsia" w:ascii="宋体" w:hAnsi="宋体" w:eastAsia="宋体" w:cs="宋体"/>
                <w:b w:val="0"/>
                <w:bCs w:val="0"/>
                <w:sz w:val="21"/>
                <w:szCs w:val="21"/>
              </w:rPr>
              <w:t>截止时间之前，将投标保证金由投标人的基本账户一次性转入并到达招标人指定账户；</w:t>
            </w:r>
          </w:p>
          <w:p w14:paraId="34D7EFF8">
            <w:pPr>
              <w:pStyle w:val="10"/>
              <w:keepNext w:val="0"/>
              <w:keepLines w:val="0"/>
              <w:pageBreakBefore w:val="0"/>
              <w:widowControl w:val="0"/>
              <w:shd w:val="clear" w:color="auto" w:fill="auto"/>
              <w:kinsoku/>
              <w:wordWrap/>
              <w:overflowPunct/>
              <w:topLinePunct w:val="0"/>
              <w:autoSpaceDE/>
              <w:autoSpaceDN/>
              <w:bidi w:val="0"/>
              <w:spacing w:before="0" w:line="300" w:lineRule="auto"/>
              <w:ind w:firstLine="420" w:firstLineChars="200"/>
              <w:jc w:val="both"/>
              <w:rPr>
                <w:rFonts w:hint="eastAsia" w:ascii="宋体" w:hAnsi="宋体" w:eastAsia="宋体" w:cs="宋体"/>
                <w:b w:val="0"/>
                <w:bCs w:val="0"/>
                <w:sz w:val="21"/>
                <w:szCs w:val="21"/>
                <w:highlight w:val="none"/>
              </w:rPr>
            </w:pPr>
            <w:r>
              <w:rPr>
                <w:rFonts w:hint="eastAsia" w:ascii="宋体" w:hAnsi="宋体" w:eastAsia="宋体" w:cs="宋体"/>
                <w:b w:val="0"/>
                <w:bCs w:val="0"/>
                <w:color w:val="auto"/>
                <w:sz w:val="21"/>
                <w:szCs w:val="21"/>
                <w:highlight w:val="none"/>
                <w:lang w:bidi="en-US"/>
              </w:rPr>
              <w:t>c.</w:t>
            </w:r>
            <w:r>
              <w:rPr>
                <w:rFonts w:hint="eastAsia" w:ascii="宋体" w:hAnsi="宋体" w:eastAsia="宋体" w:cs="宋体"/>
                <w:b w:val="0"/>
                <w:bCs w:val="0"/>
                <w:color w:val="auto"/>
                <w:sz w:val="21"/>
                <w:szCs w:val="21"/>
                <w:highlight w:val="none"/>
                <w:lang w:bidi="zh-TW"/>
              </w:rPr>
              <w:t>若投标保证金采用保函形式提交，</w:t>
            </w:r>
            <w:r>
              <w:rPr>
                <w:rFonts w:hint="eastAsia" w:ascii="宋体" w:hAnsi="宋体" w:eastAsia="宋体" w:cs="宋体"/>
                <w:b w:val="0"/>
                <w:bCs w:val="0"/>
                <w:color w:val="auto"/>
                <w:sz w:val="21"/>
                <w:szCs w:val="21"/>
                <w:highlight w:val="none"/>
                <w:lang w:val="en-US" w:eastAsia="zh-CN" w:bidi="zh-TW"/>
              </w:rPr>
              <w:t>保函的实质性内容</w:t>
            </w:r>
            <w:r>
              <w:rPr>
                <w:rFonts w:hint="eastAsia" w:ascii="宋体" w:hAnsi="宋体" w:eastAsia="宋体" w:cs="宋体"/>
                <w:b w:val="0"/>
                <w:bCs w:val="0"/>
                <w:color w:val="auto"/>
                <w:sz w:val="21"/>
                <w:szCs w:val="21"/>
                <w:highlight w:val="none"/>
              </w:rPr>
              <w:t>应满足</w:t>
            </w:r>
            <w:r>
              <w:rPr>
                <w:rFonts w:hint="eastAsia" w:ascii="宋体" w:hAnsi="宋体" w:eastAsia="宋体" w:cs="宋体"/>
                <w:b w:val="0"/>
                <w:bCs w:val="0"/>
                <w:color w:val="auto"/>
                <w:sz w:val="21"/>
                <w:szCs w:val="21"/>
                <w:highlight w:val="none"/>
                <w:lang w:val="en-US" w:eastAsia="zh-CN"/>
              </w:rPr>
              <w:t>招标文件要求</w:t>
            </w:r>
            <w:r>
              <w:rPr>
                <w:rFonts w:hint="eastAsia" w:ascii="宋体" w:hAnsi="宋体" w:eastAsia="宋体" w:cs="宋体"/>
                <w:b w:val="0"/>
                <w:bCs w:val="0"/>
                <w:color w:val="auto"/>
                <w:sz w:val="21"/>
                <w:szCs w:val="21"/>
                <w:highlight w:val="none"/>
                <w:lang w:val="zh-CN"/>
              </w:rPr>
              <w:t>。</w:t>
            </w:r>
          </w:p>
          <w:p w14:paraId="0893AD02">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（4）投标人法定代表人授权委托代理人签署投标文件的，须提交授权委托书，且授权人和被授权人均在授权委托书上签名，未使用印章、签名章或其他电子制版签名代替。</w:t>
            </w:r>
          </w:p>
          <w:p w14:paraId="6ECDA892">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（5）投标人法定代表人亲自签署投标文件的，提供了法定代表人身份证明，且法定代表人在法定代表人身份证明上签名，未使用印章、签名章或其他电子制版签名代替。</w:t>
            </w:r>
          </w:p>
        </w:tc>
      </w:tr>
      <w:tr w14:paraId="50A91CA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0" w:type="dxa"/>
            <w:bottom w:w="0" w:type="dxa"/>
            <w:right w:w="0" w:type="dxa"/>
          </w:tblCellMar>
        </w:tblPrEx>
        <w:trPr>
          <w:trHeight w:val="7966" w:hRule="atLeast"/>
          <w:jc w:val="center"/>
        </w:trPr>
        <w:tc>
          <w:tcPr>
            <w:tcW w:w="730" w:type="dxa"/>
            <w:noWrap w:val="0"/>
            <w:vAlign w:val="center"/>
          </w:tcPr>
          <w:p w14:paraId="73D8971B">
            <w:pPr>
              <w:snapToGrid w:val="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2.1.1</w:t>
            </w:r>
          </w:p>
          <w:p w14:paraId="50264F98">
            <w:pPr>
              <w:snapToGrid w:val="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2.1.3</w:t>
            </w:r>
          </w:p>
        </w:tc>
        <w:tc>
          <w:tcPr>
            <w:tcW w:w="1272" w:type="dxa"/>
            <w:noWrap w:val="0"/>
            <w:vAlign w:val="center"/>
          </w:tcPr>
          <w:p w14:paraId="1C786797">
            <w:pPr>
              <w:snapToGrid w:val="0"/>
              <w:ind w:left="113"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形式评审与响应性评审标准</w:t>
            </w:r>
          </w:p>
        </w:tc>
        <w:tc>
          <w:tcPr>
            <w:tcW w:w="7009" w:type="dxa"/>
            <w:noWrap w:val="0"/>
            <w:vAlign w:val="top"/>
          </w:tcPr>
          <w:p w14:paraId="4D7D70B5">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（6）投标人</w:t>
            </w:r>
            <w:r>
              <w:rPr>
                <w:rFonts w:hint="eastAsia" w:ascii="宋体" w:hAnsi="宋体" w:eastAsia="宋体" w:cs="宋体"/>
                <w:b w:val="0"/>
                <w:bCs w:val="0"/>
                <w:sz w:val="21"/>
                <w:szCs w:val="21"/>
                <w:lang w:val="en-US" w:eastAsia="zh-CN"/>
              </w:rPr>
              <w:t>未以</w:t>
            </w:r>
            <w:r>
              <w:rPr>
                <w:rFonts w:hint="eastAsia" w:ascii="宋体" w:hAnsi="宋体" w:eastAsia="宋体" w:cs="宋体"/>
                <w:b w:val="0"/>
                <w:bCs w:val="0"/>
                <w:sz w:val="21"/>
                <w:szCs w:val="21"/>
              </w:rPr>
              <w:t>联合体形式投标；</w:t>
            </w:r>
          </w:p>
          <w:p w14:paraId="1258406A">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（7）</w:t>
            </w:r>
            <w:r>
              <w:rPr>
                <w:rFonts w:hint="eastAsia" w:ascii="宋体" w:hAnsi="宋体" w:eastAsia="宋体" w:cs="宋体"/>
                <w:b w:val="0"/>
                <w:bCs w:val="0"/>
                <w:sz w:val="21"/>
                <w:szCs w:val="21"/>
                <w:lang w:val="en-US" w:eastAsia="zh-CN"/>
              </w:rPr>
              <w:t>投标人未提出分包计划。</w:t>
            </w:r>
          </w:p>
          <w:p w14:paraId="0A018000">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8</w:t>
            </w:r>
            <w:r>
              <w:rPr>
                <w:rFonts w:hint="eastAsia" w:ascii="宋体" w:hAnsi="宋体" w:eastAsia="宋体" w:cs="宋体"/>
                <w:b w:val="0"/>
                <w:bCs w:val="0"/>
                <w:sz w:val="21"/>
                <w:szCs w:val="21"/>
              </w:rPr>
              <w:t>）同一投标人未提交两个以上不同的投标文件，但招标文件要求提交备选投标的除外。</w:t>
            </w:r>
          </w:p>
          <w:p w14:paraId="64C1F056">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9</w:t>
            </w:r>
            <w:r>
              <w:rPr>
                <w:rFonts w:hint="eastAsia" w:ascii="宋体" w:hAnsi="宋体" w:eastAsia="宋体" w:cs="宋体"/>
                <w:b w:val="0"/>
                <w:bCs w:val="0"/>
                <w:sz w:val="21"/>
                <w:szCs w:val="21"/>
              </w:rPr>
              <w:t>）投标文件中未出现有关投标报价的内容。</w:t>
            </w:r>
          </w:p>
          <w:p w14:paraId="4E54D447">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10</w:t>
            </w:r>
            <w:r>
              <w:rPr>
                <w:rFonts w:hint="eastAsia" w:ascii="宋体" w:hAnsi="宋体" w:eastAsia="宋体" w:cs="宋体"/>
                <w:b w:val="0"/>
                <w:bCs w:val="0"/>
                <w:sz w:val="21"/>
                <w:szCs w:val="21"/>
              </w:rPr>
              <w:t>）投标文件载明的招标项目完成期限符合招标文件规定。</w:t>
            </w:r>
          </w:p>
          <w:p w14:paraId="406F61E3">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w:t>
            </w: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）投标文件对招标文件的实质性要求和条件作出响应。</w:t>
            </w:r>
          </w:p>
          <w:p w14:paraId="120DC81A">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w:t>
            </w: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）权利义务符合招标文件规定：</w:t>
            </w:r>
          </w:p>
          <w:p w14:paraId="42E494FF">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a.投标人应接受招标文件规定的风险划分原则，未提出新的风险划分办法；</w:t>
            </w:r>
          </w:p>
          <w:p w14:paraId="5A418AFC">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b.投标人未增加委托人的责任范围，或减少投标人义务；</w:t>
            </w:r>
          </w:p>
          <w:p w14:paraId="7ABE6D89">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c.投标人未提出不同的支付办法；</w:t>
            </w:r>
          </w:p>
          <w:p w14:paraId="7665E54A">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d.投标人对合同纠纷、事故处理办法未提出异议；</w:t>
            </w:r>
          </w:p>
          <w:p w14:paraId="3B5AFB92">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e.投标人在投标活动中无欺诈行为；</w:t>
            </w:r>
          </w:p>
          <w:p w14:paraId="6C90CB00">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f.投标人未对合同条款有重要保留。</w:t>
            </w:r>
          </w:p>
          <w:p w14:paraId="7056C157">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第二个信封（报价文件）评审标准：</w:t>
            </w:r>
          </w:p>
          <w:p w14:paraId="3BA3A211">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（1）投标文件按照招标文件规定的格式、内容填写，字迹清晰可辨，内容齐全完整：</w:t>
            </w:r>
          </w:p>
          <w:p w14:paraId="1F90ED4C">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a.投标函按招标文件规定填报了项目名称、编号、补遗书编号（如有）、投标价</w:t>
            </w:r>
            <w:r>
              <w:rPr>
                <w:rStyle w:val="11"/>
                <w:rFonts w:hint="eastAsia" w:ascii="宋体" w:hAnsi="宋体" w:eastAsia="宋体" w:cs="宋体"/>
                <w:b w:val="0"/>
                <w:bCs w:val="0"/>
                <w:color w:val="auto"/>
                <w:sz w:val="21"/>
                <w:szCs w:val="21"/>
                <w:highlight w:val="none"/>
                <w:shd w:val="clear" w:color="auto" w:fill="auto"/>
              </w:rPr>
              <w:t>（包括大写金额和小写金额</w:t>
            </w:r>
            <w:r>
              <w:rPr>
                <w:rStyle w:val="11"/>
                <w:rFonts w:hint="eastAsia" w:ascii="宋体" w:hAnsi="宋体" w:eastAsia="宋体" w:cs="宋体"/>
                <w:b w:val="0"/>
                <w:bCs w:val="0"/>
                <w:color w:val="auto"/>
                <w:sz w:val="21"/>
                <w:szCs w:val="21"/>
                <w:highlight w:val="none"/>
                <w:shd w:val="clear" w:color="auto" w:fill="auto"/>
                <w:lang w:eastAsia="zh-CN"/>
              </w:rPr>
              <w:t>）</w:t>
            </w:r>
            <w:r>
              <w:rPr>
                <w:rFonts w:hint="eastAsia" w:ascii="宋体" w:hAnsi="宋体" w:eastAsia="宋体" w:cs="宋体"/>
                <w:b w:val="0"/>
                <w:bCs w:val="0"/>
                <w:sz w:val="21"/>
                <w:szCs w:val="21"/>
              </w:rPr>
              <w:t>；</w:t>
            </w:r>
          </w:p>
          <w:p w14:paraId="4495A146">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b.已标价报价清单说明文字与招标文件规定一致，未进行实质性修改和删减；</w:t>
            </w:r>
          </w:p>
          <w:p w14:paraId="7A5372BA">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c.投标文件组成齐全完整，内容均按规定填写。</w:t>
            </w:r>
          </w:p>
          <w:p w14:paraId="3BF029C5">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（2）投标文件上法定代表人或其委托代理人的签字、投标人的单位章盖章齐全，符合招标文件规定。</w:t>
            </w:r>
          </w:p>
          <w:p w14:paraId="36A38386">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（3）投标报价未超过招标文件设定的最高投标限价。</w:t>
            </w:r>
          </w:p>
          <w:p w14:paraId="7AC289FD">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（4）投标报价的大写金额能够确定具体数值。</w:t>
            </w:r>
          </w:p>
          <w:p w14:paraId="22A943E6">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5</w:t>
            </w:r>
            <w:r>
              <w:rPr>
                <w:rFonts w:hint="eastAsia" w:ascii="宋体" w:hAnsi="宋体" w:eastAsia="宋体" w:cs="宋体"/>
                <w:b w:val="0"/>
                <w:bCs w:val="0"/>
                <w:sz w:val="21"/>
                <w:szCs w:val="21"/>
              </w:rPr>
              <w:t>）同一投标人未提交两个以上不同的投标报价，但招标文件要求提交备选投标的除外。</w:t>
            </w:r>
          </w:p>
        </w:tc>
      </w:tr>
      <w:tr w14:paraId="5A3BD5B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0" w:type="dxa"/>
            <w:bottom w:w="0" w:type="dxa"/>
            <w:right w:w="0" w:type="dxa"/>
          </w:tblCellMar>
        </w:tblPrEx>
        <w:trPr>
          <w:trHeight w:val="3381" w:hRule="atLeast"/>
          <w:jc w:val="center"/>
        </w:trPr>
        <w:tc>
          <w:tcPr>
            <w:tcW w:w="730" w:type="dxa"/>
            <w:noWrap w:val="0"/>
            <w:vAlign w:val="center"/>
          </w:tcPr>
          <w:p w14:paraId="590F2142">
            <w:pPr>
              <w:snapToGrid w:val="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2.1.2</w:t>
            </w:r>
          </w:p>
        </w:tc>
        <w:tc>
          <w:tcPr>
            <w:tcW w:w="1272" w:type="dxa"/>
            <w:noWrap w:val="0"/>
            <w:vAlign w:val="center"/>
          </w:tcPr>
          <w:p w14:paraId="2880EC95">
            <w:pPr>
              <w:snapToGrid w:val="0"/>
              <w:ind w:left="113"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资格评审标准</w:t>
            </w:r>
          </w:p>
        </w:tc>
        <w:tc>
          <w:tcPr>
            <w:tcW w:w="7009" w:type="dxa"/>
            <w:noWrap w:val="0"/>
            <w:vAlign w:val="center"/>
          </w:tcPr>
          <w:p w14:paraId="5C5093FA">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（1）投标人具备有效的营业执照、组织机构代码证</w:t>
            </w:r>
            <w:r>
              <w:rPr>
                <w:rFonts w:hint="eastAsia" w:ascii="宋体" w:hAnsi="宋体" w:eastAsia="宋体" w:cs="宋体"/>
                <w:b w:val="0"/>
                <w:bCs w:val="0"/>
                <w:sz w:val="21"/>
                <w:szCs w:val="21"/>
                <w:vertAlign w:val="superscript"/>
              </w:rPr>
              <w:footnoteReference w:id="3"/>
            </w:r>
            <w:r>
              <w:rPr>
                <w:rFonts w:hint="eastAsia" w:ascii="宋体" w:hAnsi="宋体" w:eastAsia="宋体" w:cs="宋体"/>
                <w:b w:val="0"/>
                <w:bCs w:val="0"/>
                <w:sz w:val="21"/>
                <w:szCs w:val="21"/>
              </w:rPr>
              <w:t>、资质证书和基本账户开户证明材料。</w:t>
            </w:r>
          </w:p>
          <w:p w14:paraId="505CD09A">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（2）投标人的资质等级符合招标文件规定。</w:t>
            </w:r>
          </w:p>
          <w:p w14:paraId="6A344DD6">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（3）投标人的类似项目业绩符合招标文件规定。</w:t>
            </w:r>
          </w:p>
          <w:p w14:paraId="6577F32F">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（4）投标人的信誉符合招标文件规定。</w:t>
            </w:r>
          </w:p>
          <w:p w14:paraId="4AFAFCDF">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（5）投标人的项目负责人资格符合招标文件规定。</w:t>
            </w:r>
          </w:p>
          <w:p w14:paraId="52186098">
            <w:pPr>
              <w:keepNext w:val="0"/>
              <w:keepLines w:val="0"/>
              <w:pageBreakBefore w:val="0"/>
              <w:widowControl w:val="0"/>
              <w:kinsoku/>
              <w:wordWrap/>
              <w:overflowPunct/>
              <w:topLinePunct w:val="0"/>
              <w:autoSpaceDE/>
              <w:autoSpaceDN/>
              <w:bidi w:val="0"/>
              <w:adjustRightInd/>
              <w:snapToGrid w:val="0"/>
              <w:spacing w:line="380" w:lineRule="exact"/>
              <w:ind w:left="113" w:right="113"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（6）投标人不存在第二章“投标人须知”第1.4.3项或第1.4.4项规定的任何一种情形。</w:t>
            </w:r>
          </w:p>
        </w:tc>
      </w:tr>
    </w:tbl>
    <w:p w14:paraId="6918C453">
      <w:pPr>
        <w:spacing w:line="320" w:lineRule="exact"/>
        <w:jc w:val="right"/>
        <w:rPr>
          <w:rFonts w:hint="eastAsia" w:ascii="宋体" w:hAnsi="宋体" w:eastAsia="宋体" w:cs="宋体"/>
          <w:b w:val="0"/>
          <w:bCs w:val="0"/>
          <w:sz w:val="21"/>
          <w:szCs w:val="21"/>
        </w:rPr>
      </w:pPr>
    </w:p>
    <w:p w14:paraId="5B825D0F">
      <w:pPr>
        <w:spacing w:line="320" w:lineRule="exact"/>
        <w:jc w:val="right"/>
        <w:rPr>
          <w:rFonts w:hint="eastAsia" w:ascii="宋体" w:hAnsi="宋体" w:eastAsia="宋体" w:cs="宋体"/>
          <w:b w:val="0"/>
          <w:bCs w:val="0"/>
          <w:sz w:val="21"/>
          <w:szCs w:val="21"/>
        </w:rPr>
      </w:pPr>
      <w:r>
        <w:rPr>
          <w:rFonts w:hint="eastAsia" w:ascii="宋体" w:hAnsi="宋体" w:eastAsia="宋体" w:cs="宋体"/>
          <w:b w:val="0"/>
          <w:bCs w:val="0"/>
          <w:sz w:val="21"/>
          <w:szCs w:val="21"/>
        </w:rPr>
        <w:br w:type="page"/>
      </w:r>
      <w:r>
        <w:rPr>
          <w:rFonts w:hint="eastAsia" w:ascii="宋体" w:hAnsi="宋体" w:eastAsia="宋体" w:cs="宋体"/>
          <w:b w:val="0"/>
          <w:bCs w:val="0"/>
          <w:sz w:val="21"/>
          <w:szCs w:val="21"/>
        </w:rPr>
        <w:t>续上表</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69"/>
        <w:gridCol w:w="2241"/>
        <w:gridCol w:w="5942"/>
      </w:tblGrid>
      <w:tr w14:paraId="253F4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00" w:hRule="atLeast"/>
          <w:tblHeader/>
          <w:jc w:val="center"/>
        </w:trPr>
        <w:tc>
          <w:tcPr>
            <w:tcW w:w="869" w:type="dxa"/>
            <w:noWrap w:val="0"/>
            <w:vAlign w:val="center"/>
          </w:tcPr>
          <w:p w14:paraId="2F14242E">
            <w:pPr>
              <w:snapToGrid w:val="0"/>
              <w:ind w:right="27"/>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条款号</w:t>
            </w:r>
          </w:p>
        </w:tc>
        <w:tc>
          <w:tcPr>
            <w:tcW w:w="2241" w:type="dxa"/>
            <w:noWrap w:val="0"/>
            <w:vAlign w:val="center"/>
          </w:tcPr>
          <w:p w14:paraId="00B7CB48">
            <w:pPr>
              <w:snapToGrid w:val="0"/>
              <w:ind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条款内容</w:t>
            </w:r>
          </w:p>
        </w:tc>
        <w:tc>
          <w:tcPr>
            <w:tcW w:w="5942" w:type="dxa"/>
            <w:noWrap w:val="0"/>
            <w:vAlign w:val="center"/>
          </w:tcPr>
          <w:p w14:paraId="6C85E82E">
            <w:pPr>
              <w:snapToGrid w:val="0"/>
              <w:ind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编列内容</w:t>
            </w:r>
          </w:p>
        </w:tc>
      </w:tr>
      <w:tr w14:paraId="20BDF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74" w:hRule="atLeast"/>
          <w:jc w:val="center"/>
        </w:trPr>
        <w:tc>
          <w:tcPr>
            <w:tcW w:w="869" w:type="dxa"/>
            <w:noWrap w:val="0"/>
            <w:vAlign w:val="center"/>
          </w:tcPr>
          <w:p w14:paraId="2E30D444">
            <w:pPr>
              <w:snapToGrid w:val="0"/>
              <w:ind w:right="27"/>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2.2.1</w:t>
            </w:r>
          </w:p>
        </w:tc>
        <w:tc>
          <w:tcPr>
            <w:tcW w:w="2241" w:type="dxa"/>
            <w:noWrap w:val="0"/>
            <w:vAlign w:val="center"/>
          </w:tcPr>
          <w:p w14:paraId="67E15E1C">
            <w:pPr>
              <w:snapToGrid w:val="0"/>
              <w:ind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分值构成</w:t>
            </w:r>
          </w:p>
          <w:p w14:paraId="1D1796A8">
            <w:pPr>
              <w:snapToGrid w:val="0"/>
              <w:ind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（总分100分）</w:t>
            </w:r>
          </w:p>
        </w:tc>
        <w:tc>
          <w:tcPr>
            <w:tcW w:w="5942" w:type="dxa"/>
            <w:noWrap w:val="0"/>
            <w:vAlign w:val="center"/>
          </w:tcPr>
          <w:p w14:paraId="3D674A45">
            <w:pPr>
              <w:snapToGrid w:val="0"/>
              <w:ind w:left="113" w:leftChars="54" w:right="113" w:firstLine="417" w:firstLineChars="199"/>
              <w:rPr>
                <w:rFonts w:hint="eastAsia" w:ascii="宋体" w:hAnsi="宋体" w:eastAsia="宋体" w:cs="宋体"/>
                <w:b w:val="0"/>
                <w:bCs w:val="0"/>
                <w:sz w:val="21"/>
                <w:szCs w:val="21"/>
              </w:rPr>
            </w:pPr>
            <w:r>
              <w:rPr>
                <w:rFonts w:hint="eastAsia" w:ascii="宋体" w:hAnsi="宋体" w:eastAsia="宋体" w:cs="宋体"/>
                <w:b w:val="0"/>
                <w:bCs w:val="0"/>
                <w:sz w:val="21"/>
                <w:szCs w:val="21"/>
              </w:rPr>
              <w:t>第一个信封（商务及技术文件）评分分值构成：</w:t>
            </w:r>
          </w:p>
          <w:p w14:paraId="7058568A">
            <w:pPr>
              <w:snapToGrid w:val="0"/>
              <w:ind w:left="113" w:leftChars="54" w:right="113"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技术建议书：</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40</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分</w:t>
            </w:r>
          </w:p>
          <w:p w14:paraId="77DD2979">
            <w:pPr>
              <w:snapToGrid w:val="0"/>
              <w:ind w:left="113" w:leftChars="54" w:right="113"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主要人员：</w:t>
            </w:r>
            <w:r>
              <w:rPr>
                <w:rFonts w:hint="eastAsia" w:ascii="宋体" w:hAnsi="宋体" w:eastAsia="宋体" w:cs="宋体"/>
                <w:b w:val="0"/>
                <w:bCs w:val="0"/>
                <w:sz w:val="21"/>
                <w:szCs w:val="21"/>
                <w:u w:val="single"/>
              </w:rPr>
              <w:t xml:space="preserve">  2</w:t>
            </w:r>
            <w:r>
              <w:rPr>
                <w:rFonts w:hint="eastAsia" w:ascii="宋体" w:hAnsi="宋体" w:eastAsia="宋体" w:cs="宋体"/>
                <w:b w:val="0"/>
                <w:bCs w:val="0"/>
                <w:sz w:val="21"/>
                <w:szCs w:val="21"/>
                <w:u w:val="single"/>
                <w:lang w:val="en-US" w:eastAsia="zh-CN"/>
              </w:rPr>
              <w:t>0</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分</w:t>
            </w:r>
          </w:p>
          <w:p w14:paraId="05E9D692">
            <w:pPr>
              <w:snapToGrid w:val="0"/>
              <w:ind w:left="113" w:leftChars="54" w:right="113"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业绩：</w:t>
            </w:r>
            <w:r>
              <w:rPr>
                <w:rFonts w:hint="eastAsia" w:ascii="宋体" w:hAnsi="宋体" w:eastAsia="宋体" w:cs="宋体"/>
                <w:b w:val="0"/>
                <w:bCs w:val="0"/>
                <w:sz w:val="21"/>
                <w:szCs w:val="21"/>
                <w:u w:val="single"/>
              </w:rPr>
              <w:t xml:space="preserve">  20  </w:t>
            </w:r>
            <w:r>
              <w:rPr>
                <w:rFonts w:hint="eastAsia" w:ascii="宋体" w:hAnsi="宋体" w:eastAsia="宋体" w:cs="宋体"/>
                <w:b w:val="0"/>
                <w:bCs w:val="0"/>
                <w:sz w:val="21"/>
                <w:szCs w:val="21"/>
              </w:rPr>
              <w:t>分</w:t>
            </w:r>
          </w:p>
          <w:p w14:paraId="42574643">
            <w:pPr>
              <w:snapToGrid w:val="0"/>
              <w:ind w:left="113" w:leftChars="54" w:right="113"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履约信誉：</w:t>
            </w:r>
            <w:r>
              <w:rPr>
                <w:rFonts w:hint="eastAsia" w:ascii="宋体" w:hAnsi="宋体" w:eastAsia="宋体" w:cs="宋体"/>
                <w:b w:val="0"/>
                <w:bCs w:val="0"/>
                <w:sz w:val="21"/>
                <w:szCs w:val="21"/>
                <w:u w:val="single"/>
              </w:rPr>
              <w:t xml:space="preserve">  10  </w:t>
            </w:r>
            <w:r>
              <w:rPr>
                <w:rFonts w:hint="eastAsia" w:ascii="宋体" w:hAnsi="宋体" w:eastAsia="宋体" w:cs="宋体"/>
                <w:b w:val="0"/>
                <w:bCs w:val="0"/>
                <w:sz w:val="21"/>
                <w:szCs w:val="21"/>
              </w:rPr>
              <w:t>分</w:t>
            </w:r>
          </w:p>
          <w:p w14:paraId="1936C028">
            <w:pPr>
              <w:snapToGrid w:val="0"/>
              <w:ind w:left="113" w:leftChars="54" w:right="113" w:firstLine="417" w:firstLineChars="199"/>
              <w:rPr>
                <w:rFonts w:hint="eastAsia" w:ascii="宋体" w:hAnsi="宋体" w:eastAsia="宋体" w:cs="宋体"/>
                <w:b w:val="0"/>
                <w:bCs w:val="0"/>
                <w:sz w:val="21"/>
                <w:szCs w:val="21"/>
              </w:rPr>
            </w:pPr>
            <w:r>
              <w:rPr>
                <w:rFonts w:hint="eastAsia" w:ascii="宋体" w:hAnsi="宋体" w:eastAsia="宋体" w:cs="宋体"/>
                <w:b w:val="0"/>
                <w:bCs w:val="0"/>
                <w:sz w:val="21"/>
                <w:szCs w:val="21"/>
              </w:rPr>
              <w:t>第二个信封（报价文件）评分分值构成：</w:t>
            </w:r>
          </w:p>
          <w:p w14:paraId="30F312C7">
            <w:pPr>
              <w:snapToGrid w:val="0"/>
              <w:ind w:left="113" w:leftChars="54" w:right="113"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评标价：</w:t>
            </w:r>
            <w:r>
              <w:rPr>
                <w:rFonts w:hint="eastAsia" w:ascii="宋体" w:hAnsi="宋体" w:eastAsia="宋体" w:cs="宋体"/>
                <w:b w:val="0"/>
                <w:bCs w:val="0"/>
                <w:sz w:val="21"/>
                <w:szCs w:val="21"/>
                <w:u w:val="single"/>
              </w:rPr>
              <w:t xml:space="preserve">  10  </w:t>
            </w:r>
            <w:r>
              <w:rPr>
                <w:rFonts w:hint="eastAsia" w:ascii="宋体" w:hAnsi="宋体" w:eastAsia="宋体" w:cs="宋体"/>
                <w:b w:val="0"/>
                <w:bCs w:val="0"/>
                <w:sz w:val="21"/>
                <w:szCs w:val="21"/>
              </w:rPr>
              <w:t>分</w:t>
            </w:r>
          </w:p>
        </w:tc>
      </w:tr>
      <w:tr w14:paraId="3F7E7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9" w:hRule="atLeast"/>
          <w:jc w:val="center"/>
        </w:trPr>
        <w:tc>
          <w:tcPr>
            <w:tcW w:w="869" w:type="dxa"/>
            <w:noWrap w:val="0"/>
            <w:vAlign w:val="center"/>
          </w:tcPr>
          <w:p w14:paraId="592E9DA4">
            <w:pPr>
              <w:snapToGrid w:val="0"/>
              <w:ind w:right="27"/>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2.2.2</w:t>
            </w:r>
          </w:p>
        </w:tc>
        <w:tc>
          <w:tcPr>
            <w:tcW w:w="2241" w:type="dxa"/>
            <w:noWrap w:val="0"/>
            <w:vAlign w:val="center"/>
          </w:tcPr>
          <w:p w14:paraId="6EAEA60D">
            <w:pPr>
              <w:snapToGrid w:val="0"/>
              <w:ind w:left="113"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评标基准价</w:t>
            </w:r>
          </w:p>
          <w:p w14:paraId="14E98D5A">
            <w:pPr>
              <w:snapToGrid w:val="0"/>
              <w:ind w:left="113"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计算方法</w:t>
            </w:r>
          </w:p>
        </w:tc>
        <w:tc>
          <w:tcPr>
            <w:tcW w:w="5942" w:type="dxa"/>
            <w:noWrap w:val="0"/>
            <w:vAlign w:val="center"/>
          </w:tcPr>
          <w:p w14:paraId="25B75658">
            <w:pPr>
              <w:snapToGrid w:val="0"/>
              <w:ind w:left="113" w:leftChars="54" w:right="113"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评标基准价的计算：</w:t>
            </w:r>
          </w:p>
          <w:p w14:paraId="0170E9B0">
            <w:pPr>
              <w:snapToGrid w:val="0"/>
              <w:ind w:left="113" w:leftChars="54" w:right="113"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在开标现场，招标人将当场计算并宣布评标基准价。</w:t>
            </w:r>
          </w:p>
          <w:p w14:paraId="62B39DAF">
            <w:pPr>
              <w:snapToGrid w:val="0"/>
              <w:ind w:left="113" w:leftChars="54" w:right="113" w:firstLine="315" w:firstLineChars="150"/>
              <w:rPr>
                <w:rFonts w:hint="eastAsia" w:ascii="宋体" w:hAnsi="宋体" w:eastAsia="宋体" w:cs="宋体"/>
                <w:b w:val="0"/>
                <w:bCs w:val="0"/>
                <w:sz w:val="21"/>
                <w:szCs w:val="21"/>
              </w:rPr>
            </w:pPr>
            <w:r>
              <w:rPr>
                <w:rFonts w:hint="eastAsia" w:ascii="宋体" w:hAnsi="宋体" w:eastAsia="宋体" w:cs="宋体"/>
                <w:b w:val="0"/>
                <w:bCs w:val="0"/>
                <w:sz w:val="21"/>
                <w:szCs w:val="21"/>
              </w:rPr>
              <w:t>（1）评标价的确定：</w:t>
            </w:r>
          </w:p>
          <w:p w14:paraId="5E3AE351">
            <w:pPr>
              <w:snapToGrid w:val="0"/>
              <w:ind w:left="113" w:leftChars="54" w:right="113"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评标价=投标函文字报价</w:t>
            </w:r>
          </w:p>
          <w:p w14:paraId="30A021FA">
            <w:pPr>
              <w:snapToGrid w:val="0"/>
              <w:ind w:left="113" w:leftChars="54" w:right="113" w:firstLine="315" w:firstLineChars="150"/>
              <w:rPr>
                <w:rFonts w:hint="eastAsia" w:ascii="宋体" w:hAnsi="宋体" w:eastAsia="宋体" w:cs="宋体"/>
                <w:b w:val="0"/>
                <w:bCs w:val="0"/>
                <w:sz w:val="21"/>
                <w:szCs w:val="21"/>
              </w:rPr>
            </w:pPr>
            <w:r>
              <w:rPr>
                <w:rFonts w:hint="eastAsia" w:ascii="宋体" w:hAnsi="宋体" w:eastAsia="宋体" w:cs="宋体"/>
                <w:b w:val="0"/>
                <w:bCs w:val="0"/>
                <w:sz w:val="21"/>
                <w:szCs w:val="21"/>
              </w:rPr>
              <w:t>（2）评标价平均值的计算：</w:t>
            </w:r>
          </w:p>
          <w:p w14:paraId="2CC9A69B">
            <w:pPr>
              <w:snapToGrid w:val="0"/>
              <w:ind w:left="113" w:leftChars="54" w:right="113"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方案二：除按第二章“投标人须知”第5.2.4项规定开标现场被宣布为不进入评标基准价计算的投标报价之外，所有投标人的评标价去掉一个最高值和一个最低值后的算术平均值即为评标价平均值（如果参与评标价平均值计算的有效投标人少于5家时，则计算评标价平均值时不去掉最高值和最低值）。</w:t>
            </w:r>
          </w:p>
          <w:p w14:paraId="703D3DE3">
            <w:pPr>
              <w:snapToGrid w:val="0"/>
              <w:ind w:left="113" w:leftChars="54" w:right="113"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（3）评标基准价的确定：</w:t>
            </w:r>
          </w:p>
          <w:p w14:paraId="50008241">
            <w:pPr>
              <w:snapToGrid w:val="0"/>
              <w:ind w:left="113" w:leftChars="54" w:right="113"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方法一：将评标价平均值直接作为评标基准价。</w:t>
            </w:r>
          </w:p>
          <w:p w14:paraId="2DA43132">
            <w:pPr>
              <w:snapToGrid w:val="0"/>
              <w:ind w:left="113" w:leftChars="54" w:right="113" w:firstLine="417" w:firstLineChars="199"/>
              <w:rPr>
                <w:rFonts w:hint="eastAsia" w:ascii="宋体" w:hAnsi="宋体" w:eastAsia="宋体" w:cs="宋体"/>
                <w:b w:val="0"/>
                <w:bCs w:val="0"/>
                <w:sz w:val="21"/>
                <w:szCs w:val="21"/>
              </w:rPr>
            </w:pPr>
            <w:r>
              <w:rPr>
                <w:rFonts w:hint="eastAsia" w:ascii="宋体" w:hAnsi="宋体" w:eastAsia="宋体" w:cs="宋体"/>
                <w:b w:val="0"/>
                <w:bCs w:val="0"/>
                <w:sz w:val="21"/>
                <w:szCs w:val="21"/>
              </w:rPr>
              <w:t>在评标过程中，评标委员会应对计算的评标基准价进行复核，存在计算错误的应予以修正并在评标报告中作出说明。除此之外，评标基准价在整个评标期间保持不变，不随任何因素发生变化。</w:t>
            </w:r>
          </w:p>
        </w:tc>
      </w:tr>
      <w:tr w14:paraId="76E70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40" w:hRule="atLeast"/>
          <w:jc w:val="center"/>
        </w:trPr>
        <w:tc>
          <w:tcPr>
            <w:tcW w:w="869" w:type="dxa"/>
            <w:noWrap w:val="0"/>
            <w:vAlign w:val="center"/>
          </w:tcPr>
          <w:p w14:paraId="58F80D25">
            <w:pPr>
              <w:snapToGrid w:val="0"/>
              <w:ind w:right="27"/>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2.2.3</w:t>
            </w:r>
          </w:p>
        </w:tc>
        <w:tc>
          <w:tcPr>
            <w:tcW w:w="2241" w:type="dxa"/>
            <w:noWrap w:val="0"/>
            <w:vAlign w:val="center"/>
          </w:tcPr>
          <w:p w14:paraId="7C1BFEB8">
            <w:pPr>
              <w:snapToGrid w:val="0"/>
              <w:ind w:left="113"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评标价的偏差率</w:t>
            </w:r>
          </w:p>
          <w:p w14:paraId="7FBB627B">
            <w:pPr>
              <w:snapToGrid w:val="0"/>
              <w:ind w:left="113"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计算公式</w:t>
            </w:r>
          </w:p>
        </w:tc>
        <w:tc>
          <w:tcPr>
            <w:tcW w:w="5942" w:type="dxa"/>
            <w:noWrap w:val="0"/>
            <w:vAlign w:val="center"/>
          </w:tcPr>
          <w:p w14:paraId="749D0F96">
            <w:pPr>
              <w:snapToGrid w:val="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偏差率=100%×（投标人评标价-评标基准价）/评标基准价</w:t>
            </w:r>
          </w:p>
          <w:p w14:paraId="73392817">
            <w:pPr>
              <w:snapToGrid w:val="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偏差率保留2位小数</w:t>
            </w:r>
          </w:p>
        </w:tc>
      </w:tr>
    </w:tbl>
    <w:p w14:paraId="1FBBCA7C">
      <w:pPr>
        <w:spacing w:line="320" w:lineRule="exact"/>
        <w:jc w:val="right"/>
        <w:rPr>
          <w:rFonts w:hint="eastAsia" w:ascii="宋体" w:hAnsi="宋体" w:eastAsia="宋体" w:cs="宋体"/>
          <w:b w:val="0"/>
          <w:bCs w:val="0"/>
          <w:sz w:val="21"/>
          <w:szCs w:val="21"/>
        </w:rPr>
      </w:pPr>
      <w:r>
        <w:rPr>
          <w:rFonts w:hint="eastAsia" w:ascii="宋体" w:hAnsi="宋体" w:eastAsia="宋体" w:cs="宋体"/>
          <w:b w:val="0"/>
          <w:bCs w:val="0"/>
          <w:sz w:val="21"/>
          <w:szCs w:val="21"/>
        </w:rPr>
        <w:br w:type="page"/>
      </w:r>
      <w:r>
        <w:rPr>
          <w:rFonts w:hint="eastAsia" w:ascii="宋体" w:hAnsi="宋体" w:eastAsia="宋体" w:cs="宋体"/>
          <w:b w:val="0"/>
          <w:bCs w:val="0"/>
          <w:sz w:val="21"/>
          <w:szCs w:val="21"/>
        </w:rPr>
        <w:t>续上表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40"/>
        <w:gridCol w:w="645"/>
        <w:gridCol w:w="599"/>
        <w:gridCol w:w="1199"/>
        <w:gridCol w:w="1443"/>
        <w:gridCol w:w="905"/>
        <w:gridCol w:w="3461"/>
      </w:tblGrid>
      <w:tr w14:paraId="459CB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5" w:hRule="atLeast"/>
          <w:tblHeader/>
          <w:jc w:val="center"/>
        </w:trPr>
        <w:tc>
          <w:tcPr>
            <w:tcW w:w="5731" w:type="dxa"/>
            <w:gridSpan w:val="6"/>
            <w:noWrap w:val="0"/>
            <w:vAlign w:val="center"/>
          </w:tcPr>
          <w:p w14:paraId="044F3B2E">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评分因素与权重分值</w:t>
            </w:r>
            <w:r>
              <w:rPr>
                <w:rFonts w:hint="eastAsia" w:ascii="宋体" w:hAnsi="宋体" w:eastAsia="宋体" w:cs="宋体"/>
                <w:b w:val="0"/>
                <w:bCs w:val="0"/>
                <w:sz w:val="21"/>
                <w:szCs w:val="21"/>
                <w:vertAlign w:val="superscript"/>
              </w:rPr>
              <w:footnoteReference w:id="4"/>
            </w:r>
          </w:p>
        </w:tc>
        <w:tc>
          <w:tcPr>
            <w:tcW w:w="3461" w:type="dxa"/>
            <w:vMerge w:val="restart"/>
            <w:noWrap w:val="0"/>
            <w:vAlign w:val="center"/>
          </w:tcPr>
          <w:p w14:paraId="4D060AD7">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评分标准</w:t>
            </w:r>
          </w:p>
        </w:tc>
      </w:tr>
      <w:tr w14:paraId="62FFB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940" w:type="dxa"/>
            <w:noWrap w:val="0"/>
            <w:vAlign w:val="center"/>
          </w:tcPr>
          <w:p w14:paraId="5274F6BE">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条款号</w:t>
            </w:r>
          </w:p>
        </w:tc>
        <w:tc>
          <w:tcPr>
            <w:tcW w:w="1244" w:type="dxa"/>
            <w:gridSpan w:val="2"/>
            <w:noWrap w:val="0"/>
            <w:vAlign w:val="center"/>
          </w:tcPr>
          <w:p w14:paraId="0FF9B0FE">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评分因素</w:t>
            </w:r>
          </w:p>
        </w:tc>
        <w:tc>
          <w:tcPr>
            <w:tcW w:w="1199" w:type="dxa"/>
            <w:noWrap w:val="0"/>
            <w:vAlign w:val="center"/>
          </w:tcPr>
          <w:p w14:paraId="5B2CDA88">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评分因素</w:t>
            </w:r>
          </w:p>
          <w:p w14:paraId="7E8573F6">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权重分值</w:t>
            </w:r>
          </w:p>
        </w:tc>
        <w:tc>
          <w:tcPr>
            <w:tcW w:w="1443" w:type="dxa"/>
            <w:noWrap w:val="0"/>
            <w:vAlign w:val="center"/>
          </w:tcPr>
          <w:p w14:paraId="68943E7D">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各评分因素</w:t>
            </w:r>
          </w:p>
          <w:p w14:paraId="3A8B8F0A">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细分项</w:t>
            </w:r>
          </w:p>
        </w:tc>
        <w:tc>
          <w:tcPr>
            <w:tcW w:w="905" w:type="dxa"/>
            <w:noWrap w:val="0"/>
            <w:vAlign w:val="center"/>
          </w:tcPr>
          <w:p w14:paraId="7CAB89B7">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分值</w:t>
            </w:r>
          </w:p>
        </w:tc>
        <w:tc>
          <w:tcPr>
            <w:tcW w:w="3461" w:type="dxa"/>
            <w:vMerge w:val="continue"/>
            <w:noWrap w:val="0"/>
            <w:vAlign w:val="center"/>
          </w:tcPr>
          <w:p w14:paraId="1F1514B0">
            <w:pPr>
              <w:jc w:val="center"/>
              <w:rPr>
                <w:rFonts w:hint="eastAsia" w:ascii="宋体" w:hAnsi="宋体" w:eastAsia="宋体" w:cs="宋体"/>
                <w:b w:val="0"/>
                <w:bCs w:val="0"/>
                <w:sz w:val="21"/>
                <w:szCs w:val="21"/>
              </w:rPr>
            </w:pPr>
          </w:p>
        </w:tc>
      </w:tr>
      <w:tr w14:paraId="52B1E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63" w:hRule="exact"/>
          <w:jc w:val="center"/>
        </w:trPr>
        <w:tc>
          <w:tcPr>
            <w:tcW w:w="940" w:type="dxa"/>
            <w:vMerge w:val="restart"/>
            <w:noWrap w:val="0"/>
            <w:vAlign w:val="center"/>
          </w:tcPr>
          <w:p w14:paraId="0A85C4D4">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2.2.4</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1</w:t>
            </w:r>
            <w:r>
              <w:rPr>
                <w:rFonts w:hint="eastAsia" w:ascii="宋体" w:hAnsi="宋体" w:eastAsia="宋体" w:cs="宋体"/>
                <w:b w:val="0"/>
                <w:bCs w:val="0"/>
                <w:sz w:val="21"/>
                <w:szCs w:val="21"/>
                <w:lang w:eastAsia="zh-CN"/>
              </w:rPr>
              <w:t>)</w:t>
            </w:r>
          </w:p>
        </w:tc>
        <w:tc>
          <w:tcPr>
            <w:tcW w:w="1244" w:type="dxa"/>
            <w:gridSpan w:val="2"/>
            <w:vMerge w:val="restart"/>
            <w:noWrap w:val="0"/>
            <w:vAlign w:val="center"/>
          </w:tcPr>
          <w:p w14:paraId="4326E590">
            <w:pPr>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技术建议书</w:t>
            </w:r>
          </w:p>
        </w:tc>
        <w:tc>
          <w:tcPr>
            <w:tcW w:w="1199" w:type="dxa"/>
            <w:vMerge w:val="restart"/>
            <w:noWrap w:val="0"/>
            <w:vAlign w:val="center"/>
          </w:tcPr>
          <w:p w14:paraId="5A9C058A">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40</w:t>
            </w:r>
            <w:r>
              <w:rPr>
                <w:rFonts w:hint="eastAsia" w:ascii="宋体" w:hAnsi="宋体" w:eastAsia="宋体" w:cs="宋体"/>
                <w:b w:val="0"/>
                <w:bCs w:val="0"/>
                <w:sz w:val="21"/>
                <w:szCs w:val="21"/>
              </w:rPr>
              <w:t>分</w:t>
            </w:r>
          </w:p>
        </w:tc>
        <w:tc>
          <w:tcPr>
            <w:tcW w:w="1443" w:type="dxa"/>
            <w:noWrap w:val="0"/>
            <w:vAlign w:val="center"/>
          </w:tcPr>
          <w:p w14:paraId="3AF08ADE">
            <w:pPr>
              <w:adjustRightInd w:val="0"/>
              <w:snapToGrid w:val="0"/>
              <w:spacing w:before="24" w:beforeLines="10" w:after="24" w:afterLines="10"/>
              <w:jc w:val="left"/>
              <w:rPr>
                <w:rFonts w:hint="eastAsia" w:ascii="宋体" w:hAnsi="宋体" w:eastAsia="宋体" w:cs="宋体"/>
                <w:b w:val="0"/>
                <w:bCs w:val="0"/>
                <w:sz w:val="21"/>
                <w:szCs w:val="21"/>
              </w:rPr>
            </w:pPr>
            <w:r>
              <w:rPr>
                <w:rFonts w:hint="eastAsia" w:ascii="宋体" w:hAnsi="宋体" w:eastAsia="宋体" w:cs="宋体"/>
                <w:b w:val="0"/>
                <w:bCs w:val="0"/>
                <w:sz w:val="21"/>
                <w:szCs w:val="21"/>
                <w:highlight w:val="none"/>
              </w:rPr>
              <w:t>总体施工组织布置及规划</w:t>
            </w:r>
          </w:p>
        </w:tc>
        <w:tc>
          <w:tcPr>
            <w:tcW w:w="905" w:type="dxa"/>
            <w:noWrap w:val="0"/>
            <w:vAlign w:val="center"/>
          </w:tcPr>
          <w:p w14:paraId="62B6DC77">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10分</w:t>
            </w:r>
          </w:p>
        </w:tc>
        <w:tc>
          <w:tcPr>
            <w:tcW w:w="3461" w:type="dxa"/>
            <w:noWrap w:val="0"/>
            <w:vAlign w:val="center"/>
          </w:tcPr>
          <w:p w14:paraId="7ACD22F9">
            <w:pPr>
              <w:adjustRightInd w:val="0"/>
              <w:snapToGrid w:val="0"/>
              <w:spacing w:before="24" w:beforeLines="10" w:after="24" w:afterLines="10"/>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按招标文件要求编制总体施工组织布置及规划，得6分；</w:t>
            </w:r>
          </w:p>
          <w:p w14:paraId="07DEDBA6">
            <w:pPr>
              <w:adjustRightInd w:val="0"/>
              <w:snapToGrid w:val="0"/>
              <w:spacing w:before="24" w:beforeLines="10" w:after="24" w:afterLines="10"/>
              <w:rPr>
                <w:rFonts w:hint="eastAsia" w:ascii="宋体" w:hAnsi="宋体" w:eastAsia="宋体" w:cs="宋体"/>
                <w:b w:val="0"/>
                <w:bCs w:val="0"/>
                <w:sz w:val="21"/>
                <w:szCs w:val="21"/>
              </w:rPr>
            </w:pPr>
            <w:r>
              <w:rPr>
                <w:rFonts w:hint="eastAsia" w:ascii="宋体" w:hAnsi="宋体" w:eastAsia="宋体" w:cs="宋体"/>
                <w:b w:val="0"/>
                <w:bCs w:val="0"/>
                <w:sz w:val="21"/>
                <w:szCs w:val="21"/>
                <w:highlight w:val="none"/>
              </w:rPr>
              <w:t>总体方案切实可行，对本项目具有针对性，得6分～10分。</w:t>
            </w:r>
          </w:p>
        </w:tc>
      </w:tr>
      <w:tr w14:paraId="16416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940" w:type="dxa"/>
            <w:vMerge w:val="continue"/>
            <w:noWrap w:val="0"/>
            <w:vAlign w:val="center"/>
          </w:tcPr>
          <w:p w14:paraId="2928D415">
            <w:pPr>
              <w:jc w:val="center"/>
              <w:rPr>
                <w:rFonts w:hint="eastAsia" w:ascii="宋体" w:hAnsi="宋体" w:eastAsia="宋体" w:cs="宋体"/>
                <w:b w:val="0"/>
                <w:bCs w:val="0"/>
                <w:sz w:val="21"/>
                <w:szCs w:val="21"/>
              </w:rPr>
            </w:pPr>
          </w:p>
        </w:tc>
        <w:tc>
          <w:tcPr>
            <w:tcW w:w="1244" w:type="dxa"/>
            <w:gridSpan w:val="2"/>
            <w:vMerge w:val="continue"/>
            <w:noWrap w:val="0"/>
            <w:vAlign w:val="center"/>
          </w:tcPr>
          <w:p w14:paraId="54BCDC8B">
            <w:pPr>
              <w:jc w:val="center"/>
              <w:rPr>
                <w:rFonts w:hint="eastAsia" w:ascii="宋体" w:hAnsi="宋体" w:eastAsia="宋体" w:cs="宋体"/>
                <w:b w:val="0"/>
                <w:bCs w:val="0"/>
                <w:sz w:val="21"/>
                <w:szCs w:val="21"/>
              </w:rPr>
            </w:pPr>
          </w:p>
        </w:tc>
        <w:tc>
          <w:tcPr>
            <w:tcW w:w="1199" w:type="dxa"/>
            <w:vMerge w:val="continue"/>
            <w:noWrap w:val="0"/>
            <w:vAlign w:val="center"/>
          </w:tcPr>
          <w:p w14:paraId="7B9F0E6C">
            <w:pPr>
              <w:jc w:val="center"/>
              <w:rPr>
                <w:rFonts w:hint="eastAsia" w:ascii="宋体" w:hAnsi="宋体" w:eastAsia="宋体" w:cs="宋体"/>
                <w:b w:val="0"/>
                <w:bCs w:val="0"/>
                <w:sz w:val="21"/>
                <w:szCs w:val="21"/>
              </w:rPr>
            </w:pPr>
          </w:p>
        </w:tc>
        <w:tc>
          <w:tcPr>
            <w:tcW w:w="1443" w:type="dxa"/>
            <w:noWrap w:val="0"/>
            <w:vAlign w:val="center"/>
          </w:tcPr>
          <w:p w14:paraId="3B072A0C">
            <w:pPr>
              <w:adjustRightInd w:val="0"/>
              <w:snapToGrid w:val="0"/>
              <w:spacing w:before="48" w:beforeLines="20" w:after="48" w:afterLines="20"/>
              <w:jc w:val="left"/>
              <w:rPr>
                <w:rFonts w:hint="eastAsia" w:ascii="宋体" w:hAnsi="宋体" w:eastAsia="宋体" w:cs="宋体"/>
                <w:b w:val="0"/>
                <w:bCs w:val="0"/>
                <w:sz w:val="21"/>
                <w:szCs w:val="21"/>
              </w:rPr>
            </w:pPr>
            <w:r>
              <w:rPr>
                <w:rFonts w:hint="eastAsia" w:ascii="宋体" w:hAnsi="宋体" w:eastAsia="宋体" w:cs="宋体"/>
                <w:b w:val="0"/>
                <w:bCs w:val="0"/>
                <w:sz w:val="21"/>
                <w:szCs w:val="21"/>
                <w:highlight w:val="none"/>
              </w:rPr>
              <w:t>施工方案、方法与技术措施</w:t>
            </w:r>
          </w:p>
        </w:tc>
        <w:tc>
          <w:tcPr>
            <w:tcW w:w="905" w:type="dxa"/>
            <w:noWrap w:val="0"/>
            <w:vAlign w:val="center"/>
          </w:tcPr>
          <w:p w14:paraId="1C592553">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15</w:t>
            </w:r>
            <w:r>
              <w:rPr>
                <w:rFonts w:hint="eastAsia" w:ascii="宋体" w:hAnsi="宋体" w:eastAsia="宋体" w:cs="宋体"/>
                <w:b w:val="0"/>
                <w:bCs w:val="0"/>
                <w:sz w:val="21"/>
                <w:szCs w:val="21"/>
              </w:rPr>
              <w:t>分</w:t>
            </w:r>
          </w:p>
        </w:tc>
        <w:tc>
          <w:tcPr>
            <w:tcW w:w="3461" w:type="dxa"/>
            <w:noWrap w:val="0"/>
            <w:vAlign w:val="center"/>
          </w:tcPr>
          <w:p w14:paraId="2E59B03E">
            <w:pPr>
              <w:adjustRightInd w:val="0"/>
              <w:snapToGrid w:val="0"/>
              <w:spacing w:before="48" w:beforeLines="20" w:after="48" w:afterLines="20"/>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按招标文件要求编制施工方案、方法与技术措施，得9分；</w:t>
            </w:r>
          </w:p>
          <w:p w14:paraId="6BADDE6F">
            <w:pPr>
              <w:adjustRightInd w:val="0"/>
              <w:snapToGrid w:val="0"/>
              <w:spacing w:before="48" w:beforeLines="20" w:after="48" w:afterLines="20"/>
              <w:rPr>
                <w:rFonts w:hint="eastAsia" w:ascii="宋体" w:hAnsi="宋体" w:eastAsia="宋体" w:cs="宋体"/>
                <w:b w:val="0"/>
                <w:bCs w:val="0"/>
                <w:sz w:val="21"/>
                <w:szCs w:val="21"/>
              </w:rPr>
            </w:pPr>
            <w:r>
              <w:rPr>
                <w:rFonts w:hint="eastAsia" w:ascii="宋体" w:hAnsi="宋体" w:eastAsia="宋体" w:cs="宋体"/>
                <w:b w:val="0"/>
                <w:bCs w:val="0"/>
                <w:sz w:val="21"/>
                <w:szCs w:val="21"/>
                <w:highlight w:val="none"/>
              </w:rPr>
              <w:t>施工方案可行、施工方法齐全、技术先进、施工工艺完善；重点难点工程突出，解决办法合理、科学、先进，得9分～15分。</w:t>
            </w:r>
          </w:p>
        </w:tc>
      </w:tr>
      <w:tr w14:paraId="59E9C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940" w:type="dxa"/>
            <w:vMerge w:val="continue"/>
            <w:noWrap w:val="0"/>
            <w:vAlign w:val="center"/>
          </w:tcPr>
          <w:p w14:paraId="4BD05362">
            <w:pPr>
              <w:jc w:val="center"/>
              <w:rPr>
                <w:rFonts w:hint="eastAsia" w:ascii="宋体" w:hAnsi="宋体" w:eastAsia="宋体" w:cs="宋体"/>
                <w:b w:val="0"/>
                <w:bCs w:val="0"/>
                <w:sz w:val="21"/>
                <w:szCs w:val="21"/>
              </w:rPr>
            </w:pPr>
          </w:p>
        </w:tc>
        <w:tc>
          <w:tcPr>
            <w:tcW w:w="1244" w:type="dxa"/>
            <w:gridSpan w:val="2"/>
            <w:vMerge w:val="continue"/>
            <w:noWrap w:val="0"/>
            <w:vAlign w:val="center"/>
          </w:tcPr>
          <w:p w14:paraId="27FED912">
            <w:pPr>
              <w:jc w:val="center"/>
              <w:rPr>
                <w:rFonts w:hint="eastAsia" w:ascii="宋体" w:hAnsi="宋体" w:eastAsia="宋体" w:cs="宋体"/>
                <w:b w:val="0"/>
                <w:bCs w:val="0"/>
                <w:sz w:val="21"/>
                <w:szCs w:val="21"/>
              </w:rPr>
            </w:pPr>
          </w:p>
        </w:tc>
        <w:tc>
          <w:tcPr>
            <w:tcW w:w="1199" w:type="dxa"/>
            <w:vMerge w:val="continue"/>
            <w:noWrap w:val="0"/>
            <w:vAlign w:val="center"/>
          </w:tcPr>
          <w:p w14:paraId="071E9151">
            <w:pPr>
              <w:jc w:val="center"/>
              <w:rPr>
                <w:rFonts w:hint="eastAsia" w:ascii="宋体" w:hAnsi="宋体" w:eastAsia="宋体" w:cs="宋体"/>
                <w:b w:val="0"/>
                <w:bCs w:val="0"/>
                <w:sz w:val="21"/>
                <w:szCs w:val="21"/>
              </w:rPr>
            </w:pPr>
          </w:p>
        </w:tc>
        <w:tc>
          <w:tcPr>
            <w:tcW w:w="1443" w:type="dxa"/>
            <w:noWrap w:val="0"/>
            <w:vAlign w:val="center"/>
          </w:tcPr>
          <w:p w14:paraId="2D3BBB3A">
            <w:pPr>
              <w:adjustRightInd w:val="0"/>
              <w:snapToGrid w:val="0"/>
              <w:spacing w:before="48" w:beforeLines="20" w:after="48" w:afterLines="20"/>
              <w:jc w:val="left"/>
              <w:rPr>
                <w:rFonts w:hint="eastAsia" w:ascii="宋体" w:hAnsi="宋体" w:eastAsia="宋体" w:cs="宋体"/>
                <w:b w:val="0"/>
                <w:bCs w:val="0"/>
                <w:sz w:val="21"/>
                <w:szCs w:val="21"/>
              </w:rPr>
            </w:pPr>
            <w:r>
              <w:rPr>
                <w:rFonts w:hint="eastAsia" w:ascii="宋体" w:hAnsi="宋体" w:eastAsia="宋体" w:cs="宋体"/>
                <w:b w:val="0"/>
                <w:bCs w:val="0"/>
                <w:sz w:val="21"/>
                <w:szCs w:val="21"/>
                <w:highlight w:val="none"/>
              </w:rPr>
              <w:t>各类保证体系和保证措施</w:t>
            </w:r>
          </w:p>
        </w:tc>
        <w:tc>
          <w:tcPr>
            <w:tcW w:w="905" w:type="dxa"/>
            <w:noWrap w:val="0"/>
            <w:vAlign w:val="center"/>
          </w:tcPr>
          <w:p w14:paraId="2A3DA978">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10</w:t>
            </w:r>
            <w:r>
              <w:rPr>
                <w:rFonts w:hint="eastAsia" w:ascii="宋体" w:hAnsi="宋体" w:eastAsia="宋体" w:cs="宋体"/>
                <w:b w:val="0"/>
                <w:bCs w:val="0"/>
                <w:sz w:val="21"/>
                <w:szCs w:val="21"/>
              </w:rPr>
              <w:t>分</w:t>
            </w:r>
          </w:p>
        </w:tc>
        <w:tc>
          <w:tcPr>
            <w:tcW w:w="3461" w:type="dxa"/>
            <w:noWrap w:val="0"/>
            <w:vAlign w:val="center"/>
          </w:tcPr>
          <w:p w14:paraId="7ECDBB79">
            <w:pPr>
              <w:adjustRightInd w:val="0"/>
              <w:snapToGrid w:val="0"/>
              <w:spacing w:before="24" w:beforeLines="10" w:after="24" w:afterLines="10"/>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按招标文件要求编制各类保证体系和保证措施，得6分；</w:t>
            </w:r>
          </w:p>
          <w:p w14:paraId="00523D46">
            <w:pPr>
              <w:adjustRightInd w:val="0"/>
              <w:snapToGrid w:val="0"/>
              <w:spacing w:before="24" w:beforeLines="10" w:after="24" w:afterLines="10"/>
              <w:rPr>
                <w:rFonts w:hint="eastAsia" w:ascii="宋体" w:hAnsi="宋体" w:eastAsia="宋体" w:cs="宋体"/>
                <w:b w:val="0"/>
                <w:bCs w:val="0"/>
                <w:sz w:val="21"/>
                <w:szCs w:val="21"/>
              </w:rPr>
            </w:pPr>
            <w:r>
              <w:rPr>
                <w:rFonts w:hint="eastAsia" w:ascii="宋体" w:hAnsi="宋体" w:eastAsia="宋体" w:cs="宋体"/>
                <w:b w:val="0"/>
                <w:bCs w:val="0"/>
                <w:sz w:val="21"/>
                <w:szCs w:val="21"/>
                <w:highlight w:val="none"/>
              </w:rPr>
              <w:t>内容齐全、完善；工程保证体系和保证措施具有操作性、先进、合理，得6分～10分。</w:t>
            </w:r>
          </w:p>
        </w:tc>
      </w:tr>
      <w:tr w14:paraId="29E4B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940" w:type="dxa"/>
            <w:vMerge w:val="continue"/>
            <w:noWrap w:val="0"/>
            <w:vAlign w:val="center"/>
          </w:tcPr>
          <w:p w14:paraId="07F7CBD9">
            <w:pPr>
              <w:jc w:val="center"/>
              <w:rPr>
                <w:rFonts w:hint="eastAsia" w:ascii="宋体" w:hAnsi="宋体" w:eastAsia="宋体" w:cs="宋体"/>
                <w:b w:val="0"/>
                <w:bCs w:val="0"/>
                <w:sz w:val="21"/>
                <w:szCs w:val="21"/>
              </w:rPr>
            </w:pPr>
          </w:p>
        </w:tc>
        <w:tc>
          <w:tcPr>
            <w:tcW w:w="1244" w:type="dxa"/>
            <w:gridSpan w:val="2"/>
            <w:vMerge w:val="continue"/>
            <w:noWrap w:val="0"/>
            <w:vAlign w:val="center"/>
          </w:tcPr>
          <w:p w14:paraId="31F9A43A">
            <w:pPr>
              <w:jc w:val="center"/>
              <w:rPr>
                <w:rFonts w:hint="eastAsia" w:ascii="宋体" w:hAnsi="宋体" w:eastAsia="宋体" w:cs="宋体"/>
                <w:b w:val="0"/>
                <w:bCs w:val="0"/>
                <w:sz w:val="21"/>
                <w:szCs w:val="21"/>
              </w:rPr>
            </w:pPr>
          </w:p>
        </w:tc>
        <w:tc>
          <w:tcPr>
            <w:tcW w:w="1199" w:type="dxa"/>
            <w:vMerge w:val="continue"/>
            <w:noWrap w:val="0"/>
            <w:vAlign w:val="center"/>
          </w:tcPr>
          <w:p w14:paraId="394C81D6">
            <w:pPr>
              <w:jc w:val="center"/>
              <w:rPr>
                <w:rFonts w:hint="eastAsia" w:ascii="宋体" w:hAnsi="宋体" w:eastAsia="宋体" w:cs="宋体"/>
                <w:b w:val="0"/>
                <w:bCs w:val="0"/>
                <w:sz w:val="21"/>
                <w:szCs w:val="21"/>
              </w:rPr>
            </w:pPr>
          </w:p>
        </w:tc>
        <w:tc>
          <w:tcPr>
            <w:tcW w:w="1443" w:type="dxa"/>
            <w:noWrap w:val="0"/>
            <w:vAlign w:val="center"/>
          </w:tcPr>
          <w:p w14:paraId="0848CC5C">
            <w:pPr>
              <w:adjustRightInd w:val="0"/>
              <w:snapToGrid w:val="0"/>
              <w:spacing w:before="24" w:beforeLines="10" w:after="24" w:afterLines="10"/>
              <w:jc w:val="left"/>
              <w:rPr>
                <w:rFonts w:hint="eastAsia" w:ascii="宋体" w:hAnsi="宋体" w:eastAsia="宋体" w:cs="宋体"/>
                <w:b w:val="0"/>
                <w:bCs w:val="0"/>
                <w:sz w:val="21"/>
                <w:szCs w:val="21"/>
              </w:rPr>
            </w:pPr>
            <w:r>
              <w:rPr>
                <w:rFonts w:hint="eastAsia" w:ascii="宋体" w:hAnsi="宋体" w:eastAsia="宋体" w:cs="宋体"/>
                <w:b w:val="0"/>
                <w:bCs w:val="0"/>
                <w:sz w:val="21"/>
                <w:szCs w:val="21"/>
                <w:highlight w:val="none"/>
              </w:rPr>
              <w:t>项目风险预测与防范，事故应急预案</w:t>
            </w:r>
          </w:p>
        </w:tc>
        <w:tc>
          <w:tcPr>
            <w:tcW w:w="905" w:type="dxa"/>
            <w:noWrap w:val="0"/>
            <w:vAlign w:val="center"/>
          </w:tcPr>
          <w:p w14:paraId="5F17D267">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5</w:t>
            </w:r>
            <w:r>
              <w:rPr>
                <w:rFonts w:hint="eastAsia" w:ascii="宋体" w:hAnsi="宋体" w:eastAsia="宋体" w:cs="宋体"/>
                <w:b w:val="0"/>
                <w:bCs w:val="0"/>
                <w:sz w:val="21"/>
                <w:szCs w:val="21"/>
              </w:rPr>
              <w:t>分</w:t>
            </w:r>
          </w:p>
        </w:tc>
        <w:tc>
          <w:tcPr>
            <w:tcW w:w="3461" w:type="dxa"/>
            <w:noWrap w:val="0"/>
            <w:vAlign w:val="center"/>
          </w:tcPr>
          <w:p w14:paraId="2E91863E">
            <w:pPr>
              <w:adjustRightInd w:val="0"/>
              <w:snapToGrid w:val="0"/>
              <w:spacing w:before="24" w:beforeLines="10" w:after="24" w:afterLines="10"/>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按招标文件要求编制项目风险预测与防范，事故应急预案，得3分；</w:t>
            </w:r>
          </w:p>
          <w:p w14:paraId="6D58A96F">
            <w:pPr>
              <w:adjustRightInd w:val="0"/>
              <w:snapToGrid w:val="0"/>
              <w:spacing w:before="24" w:beforeLines="10" w:after="24" w:afterLines="10"/>
              <w:rPr>
                <w:rFonts w:hint="eastAsia" w:ascii="宋体" w:hAnsi="宋体" w:eastAsia="宋体" w:cs="宋体"/>
                <w:b w:val="0"/>
                <w:bCs w:val="0"/>
                <w:sz w:val="21"/>
                <w:szCs w:val="21"/>
              </w:rPr>
            </w:pPr>
            <w:r>
              <w:rPr>
                <w:rFonts w:hint="eastAsia" w:ascii="宋体" w:hAnsi="宋体" w:eastAsia="宋体" w:cs="宋体"/>
                <w:b w:val="0"/>
                <w:bCs w:val="0"/>
                <w:sz w:val="21"/>
                <w:szCs w:val="21"/>
                <w:highlight w:val="none"/>
              </w:rPr>
              <w:t>项目风险预测全面；事故应急预案合理、可行，得3分～5分。</w:t>
            </w:r>
          </w:p>
        </w:tc>
      </w:tr>
      <w:tr w14:paraId="241F6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52" w:hRule="exact"/>
          <w:jc w:val="center"/>
        </w:trPr>
        <w:tc>
          <w:tcPr>
            <w:tcW w:w="940" w:type="dxa"/>
            <w:noWrap w:val="0"/>
            <w:vAlign w:val="center"/>
          </w:tcPr>
          <w:p w14:paraId="37B7F140">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2.2.4</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2</w:t>
            </w:r>
            <w:r>
              <w:rPr>
                <w:rFonts w:hint="eastAsia" w:ascii="宋体" w:hAnsi="宋体" w:eastAsia="宋体" w:cs="宋体"/>
                <w:b w:val="0"/>
                <w:bCs w:val="0"/>
                <w:sz w:val="21"/>
                <w:szCs w:val="21"/>
                <w:lang w:eastAsia="zh-CN"/>
              </w:rPr>
              <w:t>)</w:t>
            </w:r>
          </w:p>
        </w:tc>
        <w:tc>
          <w:tcPr>
            <w:tcW w:w="1244" w:type="dxa"/>
            <w:gridSpan w:val="2"/>
            <w:noWrap w:val="0"/>
            <w:vAlign w:val="center"/>
          </w:tcPr>
          <w:p w14:paraId="67AD6B22">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主要人员</w:t>
            </w:r>
          </w:p>
        </w:tc>
        <w:tc>
          <w:tcPr>
            <w:tcW w:w="1199" w:type="dxa"/>
            <w:noWrap w:val="0"/>
            <w:vAlign w:val="center"/>
          </w:tcPr>
          <w:p w14:paraId="186F09CC">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 xml:space="preserve"> 2</w:t>
            </w:r>
            <w:r>
              <w:rPr>
                <w:rFonts w:hint="eastAsia" w:ascii="宋体" w:hAnsi="宋体" w:eastAsia="宋体" w:cs="宋体"/>
                <w:b w:val="0"/>
                <w:bCs w:val="0"/>
                <w:sz w:val="21"/>
                <w:szCs w:val="21"/>
                <w:lang w:val="en-US" w:eastAsia="zh-CN"/>
              </w:rPr>
              <w:t>0</w:t>
            </w:r>
            <w:r>
              <w:rPr>
                <w:rFonts w:hint="eastAsia" w:ascii="宋体" w:hAnsi="宋体" w:eastAsia="宋体" w:cs="宋体"/>
                <w:b w:val="0"/>
                <w:bCs w:val="0"/>
                <w:sz w:val="21"/>
                <w:szCs w:val="21"/>
              </w:rPr>
              <w:t xml:space="preserve"> 分</w:t>
            </w:r>
          </w:p>
        </w:tc>
        <w:tc>
          <w:tcPr>
            <w:tcW w:w="1443" w:type="dxa"/>
            <w:noWrap w:val="0"/>
            <w:vAlign w:val="center"/>
          </w:tcPr>
          <w:p w14:paraId="728F36B2">
            <w:pPr>
              <w:ind w:right="113"/>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项目负责人任职资格与业绩</w:t>
            </w:r>
          </w:p>
        </w:tc>
        <w:tc>
          <w:tcPr>
            <w:tcW w:w="905" w:type="dxa"/>
            <w:noWrap w:val="0"/>
            <w:vAlign w:val="center"/>
          </w:tcPr>
          <w:p w14:paraId="55E0592F">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w:t>
            </w:r>
            <w:r>
              <w:rPr>
                <w:rFonts w:hint="eastAsia" w:ascii="宋体" w:hAnsi="宋体" w:eastAsia="宋体" w:cs="宋体"/>
                <w:b w:val="0"/>
                <w:bCs w:val="0"/>
                <w:sz w:val="21"/>
                <w:szCs w:val="21"/>
                <w:lang w:val="en-US" w:eastAsia="zh-CN"/>
              </w:rPr>
              <w:t>0</w:t>
            </w:r>
            <w:r>
              <w:rPr>
                <w:rFonts w:hint="eastAsia" w:ascii="宋体" w:hAnsi="宋体" w:eastAsia="宋体" w:cs="宋体"/>
                <w:b w:val="0"/>
                <w:bCs w:val="0"/>
                <w:sz w:val="21"/>
                <w:szCs w:val="21"/>
              </w:rPr>
              <w:t>分</w:t>
            </w:r>
          </w:p>
        </w:tc>
        <w:tc>
          <w:tcPr>
            <w:tcW w:w="3461" w:type="dxa"/>
            <w:noWrap w:val="0"/>
            <w:vAlign w:val="center"/>
          </w:tcPr>
          <w:p w14:paraId="38EBDC86">
            <w:pPr>
              <w:ind w:left="-2" w:leftChars="-1" w:right="-29" w:rightChars="-14" w:firstLine="6" w:firstLineChars="3"/>
              <w:rPr>
                <w:rFonts w:ascii="宋体" w:hAnsi="宋体"/>
                <w:szCs w:val="21"/>
              </w:rPr>
            </w:pPr>
            <w:r>
              <w:rPr>
                <w:rFonts w:hint="eastAsia" w:ascii="宋体" w:hAnsi="宋体"/>
              </w:rPr>
              <w:t>满足资格审查条件得</w:t>
            </w:r>
            <w:r>
              <w:rPr>
                <w:rFonts w:hint="eastAsia" w:ascii="宋体" w:hAnsi="宋体"/>
                <w:szCs w:val="21"/>
              </w:rPr>
              <w:t>1</w:t>
            </w:r>
            <w:r>
              <w:rPr>
                <w:rFonts w:hint="eastAsia" w:ascii="宋体" w:hAnsi="宋体"/>
                <w:szCs w:val="21"/>
                <w:lang w:val="en-US" w:eastAsia="zh-CN"/>
              </w:rPr>
              <w:t>2</w:t>
            </w:r>
            <w:r>
              <w:rPr>
                <w:rFonts w:hint="eastAsia" w:ascii="宋体" w:hAnsi="宋体"/>
                <w:szCs w:val="21"/>
              </w:rPr>
              <w:t>分，</w:t>
            </w:r>
          </w:p>
          <w:p w14:paraId="7B0A0C61">
            <w:pPr>
              <w:jc w:val="left"/>
              <w:rPr>
                <w:rFonts w:hint="eastAsia" w:ascii="宋体" w:hAnsi="宋体" w:eastAsia="宋体" w:cs="宋体"/>
                <w:b w:val="0"/>
                <w:bCs w:val="0"/>
                <w:sz w:val="21"/>
                <w:szCs w:val="21"/>
              </w:rPr>
            </w:pPr>
            <w:r>
              <w:rPr>
                <w:rFonts w:hint="eastAsia" w:ascii="宋体" w:hAnsi="宋体"/>
              </w:rPr>
              <w:t>每增加</w:t>
            </w:r>
            <w:r>
              <w:rPr>
                <w:rFonts w:hint="eastAsia" w:ascii="宋体" w:hAnsi="宋体"/>
                <w:szCs w:val="21"/>
              </w:rPr>
              <w:t>1项公路养护（</w:t>
            </w:r>
            <w:r>
              <w:rPr>
                <w:rFonts w:hint="eastAsia" w:ascii="宋体" w:hAnsi="宋体"/>
                <w:szCs w:val="21"/>
                <w:lang w:val="en-US" w:eastAsia="zh-CN"/>
              </w:rPr>
              <w:t>工作内容须包含</w:t>
            </w:r>
            <w:r>
              <w:rPr>
                <w:rFonts w:hint="eastAsia" w:ascii="宋体" w:hAnsi="宋体"/>
                <w:szCs w:val="21"/>
              </w:rPr>
              <w:t>交通安全设施）的项目负责人</w:t>
            </w:r>
            <w:r>
              <w:rPr>
                <w:rFonts w:hint="eastAsia" w:ascii="宋体" w:hAnsi="宋体"/>
                <w:szCs w:val="21"/>
                <w:lang w:val="en-US" w:eastAsia="zh-CN"/>
              </w:rPr>
              <w:t>或项目经理或项目总工</w:t>
            </w:r>
            <w:r>
              <w:rPr>
                <w:rFonts w:hint="eastAsia" w:ascii="宋体" w:hAnsi="宋体"/>
                <w:szCs w:val="21"/>
              </w:rPr>
              <w:t>任职经历加</w:t>
            </w:r>
            <w:r>
              <w:rPr>
                <w:rFonts w:hint="eastAsia" w:ascii="宋体" w:hAnsi="宋体"/>
                <w:szCs w:val="21"/>
                <w:lang w:val="en-US" w:eastAsia="zh-CN"/>
              </w:rPr>
              <w:t>4</w:t>
            </w:r>
            <w:r>
              <w:rPr>
                <w:rFonts w:hint="eastAsia" w:ascii="宋体" w:hAnsi="宋体"/>
                <w:szCs w:val="21"/>
              </w:rPr>
              <w:t>分，最多加</w:t>
            </w:r>
            <w:r>
              <w:rPr>
                <w:rFonts w:hint="eastAsia" w:ascii="宋体" w:hAnsi="宋体"/>
                <w:szCs w:val="21"/>
                <w:lang w:val="en-US" w:eastAsia="zh-CN"/>
              </w:rPr>
              <w:t>8</w:t>
            </w:r>
            <w:r>
              <w:rPr>
                <w:rFonts w:hint="eastAsia" w:ascii="宋体" w:hAnsi="宋体"/>
                <w:szCs w:val="21"/>
              </w:rPr>
              <w:t>分。</w:t>
            </w:r>
          </w:p>
        </w:tc>
      </w:tr>
      <w:tr w14:paraId="27A33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70" w:hRule="exact"/>
          <w:jc w:val="center"/>
        </w:trPr>
        <w:tc>
          <w:tcPr>
            <w:tcW w:w="940" w:type="dxa"/>
            <w:noWrap w:val="0"/>
            <w:vAlign w:val="center"/>
          </w:tcPr>
          <w:p w14:paraId="38EACCA5">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2.2.4</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3</w:t>
            </w:r>
            <w:r>
              <w:rPr>
                <w:rFonts w:hint="eastAsia" w:ascii="宋体" w:hAnsi="宋体" w:eastAsia="宋体" w:cs="宋体"/>
                <w:b w:val="0"/>
                <w:bCs w:val="0"/>
                <w:sz w:val="21"/>
                <w:szCs w:val="21"/>
                <w:lang w:eastAsia="zh-CN"/>
              </w:rPr>
              <w:t>)</w:t>
            </w:r>
          </w:p>
        </w:tc>
        <w:tc>
          <w:tcPr>
            <w:tcW w:w="1244" w:type="dxa"/>
            <w:gridSpan w:val="2"/>
            <w:noWrap w:val="0"/>
            <w:vAlign w:val="center"/>
          </w:tcPr>
          <w:p w14:paraId="58FB62C0">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评标价</w:t>
            </w:r>
          </w:p>
        </w:tc>
        <w:tc>
          <w:tcPr>
            <w:tcW w:w="1199" w:type="dxa"/>
            <w:noWrap w:val="0"/>
            <w:vAlign w:val="center"/>
          </w:tcPr>
          <w:p w14:paraId="3A4069FA">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 xml:space="preserve"> 10 分</w:t>
            </w:r>
          </w:p>
        </w:tc>
        <w:tc>
          <w:tcPr>
            <w:tcW w:w="5809" w:type="dxa"/>
            <w:gridSpan w:val="3"/>
            <w:noWrap w:val="0"/>
            <w:vAlign w:val="center"/>
          </w:tcPr>
          <w:p w14:paraId="1EE0F175">
            <w:pPr>
              <w:ind w:right="113"/>
              <w:rPr>
                <w:rFonts w:hint="eastAsia" w:ascii="宋体" w:hAnsi="宋体" w:eastAsia="宋体" w:cs="宋体"/>
                <w:b w:val="0"/>
                <w:bCs w:val="0"/>
                <w:sz w:val="21"/>
                <w:szCs w:val="21"/>
              </w:rPr>
            </w:pPr>
            <w:r>
              <w:rPr>
                <w:rFonts w:hint="eastAsia" w:ascii="宋体" w:hAnsi="宋体" w:eastAsia="宋体" w:cs="宋体"/>
                <w:b w:val="0"/>
                <w:bCs w:val="0"/>
                <w:sz w:val="21"/>
                <w:szCs w:val="21"/>
              </w:rPr>
              <w:t>评标价得分计算公式示例：</w:t>
            </w:r>
          </w:p>
          <w:p w14:paraId="210EED28">
            <w:pPr>
              <w:ind w:right="113"/>
              <w:rPr>
                <w:rFonts w:hint="eastAsia" w:ascii="宋体" w:hAnsi="宋体" w:eastAsia="宋体" w:cs="宋体"/>
                <w:b w:val="0"/>
                <w:bCs w:val="0"/>
                <w:sz w:val="21"/>
                <w:szCs w:val="21"/>
              </w:rPr>
            </w:pPr>
            <w:r>
              <w:rPr>
                <w:rFonts w:hint="eastAsia" w:ascii="宋体" w:hAnsi="宋体" w:eastAsia="宋体" w:cs="宋体"/>
                <w:b w:val="0"/>
                <w:bCs w:val="0"/>
                <w:sz w:val="21"/>
                <w:szCs w:val="21"/>
              </w:rPr>
              <w:t xml:space="preserve">投标人的投标报价等于评标基准价时，得10分； </w:t>
            </w:r>
          </w:p>
          <w:p w14:paraId="79EB27F5">
            <w:pPr>
              <w:ind w:right="113"/>
              <w:rPr>
                <w:rFonts w:hint="eastAsia" w:ascii="宋体" w:hAnsi="宋体" w:eastAsia="宋体" w:cs="宋体"/>
                <w:b w:val="0"/>
                <w:bCs w:val="0"/>
                <w:sz w:val="21"/>
                <w:szCs w:val="21"/>
              </w:rPr>
            </w:pPr>
            <w:r>
              <w:rPr>
                <w:rFonts w:hint="eastAsia" w:ascii="宋体" w:hAnsi="宋体" w:eastAsia="宋体" w:cs="宋体"/>
                <w:b w:val="0"/>
                <w:bCs w:val="0"/>
                <w:sz w:val="21"/>
                <w:szCs w:val="21"/>
              </w:rPr>
              <w:t>投标人的投标报价与评标基准价的比值每高一个百分点减0.2分，每低一个百分点减0.1分；</w:t>
            </w:r>
          </w:p>
          <w:p w14:paraId="07354703">
            <w:pPr>
              <w:ind w:right="113"/>
              <w:rPr>
                <w:rFonts w:hint="eastAsia" w:ascii="宋体" w:hAnsi="宋体" w:eastAsia="宋体" w:cs="宋体"/>
                <w:b w:val="0"/>
                <w:bCs w:val="0"/>
                <w:sz w:val="21"/>
                <w:szCs w:val="21"/>
              </w:rPr>
            </w:pPr>
            <w:r>
              <w:rPr>
                <w:rFonts w:hint="eastAsia" w:ascii="宋体" w:hAnsi="宋体" w:eastAsia="宋体" w:cs="宋体"/>
                <w:b w:val="0"/>
                <w:bCs w:val="0"/>
                <w:sz w:val="21"/>
                <w:szCs w:val="21"/>
              </w:rPr>
              <w:t>投标报价计算公式：</w:t>
            </w:r>
          </w:p>
          <w:p w14:paraId="2CE7EBE7">
            <w:pPr>
              <w:ind w:right="113"/>
              <w:rPr>
                <w:rFonts w:hint="eastAsia" w:ascii="宋体" w:hAnsi="宋体" w:eastAsia="宋体" w:cs="宋体"/>
                <w:b w:val="0"/>
                <w:bCs w:val="0"/>
                <w:sz w:val="21"/>
                <w:szCs w:val="21"/>
              </w:rPr>
            </w:pPr>
            <w:r>
              <w:rPr>
                <w:rFonts w:hint="eastAsia" w:ascii="宋体" w:hAnsi="宋体" w:eastAsia="宋体" w:cs="宋体"/>
                <w:b w:val="0"/>
                <w:bCs w:val="0"/>
                <w:sz w:val="21"/>
                <w:szCs w:val="21"/>
              </w:rPr>
              <w:t>10-0.2×偏差率×100（当投标人的投标报价高于评标基准价时）</w:t>
            </w:r>
          </w:p>
          <w:p w14:paraId="01DC4F15">
            <w:pPr>
              <w:ind w:right="113"/>
              <w:rPr>
                <w:rFonts w:hint="eastAsia" w:ascii="宋体" w:hAnsi="宋体" w:eastAsia="宋体" w:cs="宋体"/>
                <w:b w:val="0"/>
                <w:bCs w:val="0"/>
                <w:sz w:val="21"/>
                <w:szCs w:val="21"/>
              </w:rPr>
            </w:pPr>
            <w:r>
              <w:rPr>
                <w:rFonts w:hint="eastAsia" w:ascii="宋体" w:hAnsi="宋体" w:eastAsia="宋体" w:cs="宋体"/>
                <w:b w:val="0"/>
                <w:bCs w:val="0"/>
                <w:sz w:val="21"/>
                <w:szCs w:val="21"/>
              </w:rPr>
              <w:t>10-0.1×偏差率×100（当投标人的投标报价低于评标基准价时）</w:t>
            </w:r>
          </w:p>
        </w:tc>
      </w:tr>
      <w:tr w14:paraId="51B07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84" w:hRule="atLeast"/>
          <w:jc w:val="center"/>
        </w:trPr>
        <w:tc>
          <w:tcPr>
            <w:tcW w:w="940" w:type="dxa"/>
            <w:vMerge w:val="restart"/>
            <w:noWrap w:val="0"/>
            <w:vAlign w:val="center"/>
          </w:tcPr>
          <w:p w14:paraId="2FAEFEA0">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2.2.4</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4</w:t>
            </w:r>
            <w:r>
              <w:rPr>
                <w:rFonts w:hint="eastAsia" w:ascii="宋体" w:hAnsi="宋体" w:eastAsia="宋体" w:cs="宋体"/>
                <w:b w:val="0"/>
                <w:bCs w:val="0"/>
                <w:sz w:val="21"/>
                <w:szCs w:val="21"/>
                <w:lang w:eastAsia="zh-CN"/>
              </w:rPr>
              <w:t>)</w:t>
            </w:r>
          </w:p>
        </w:tc>
        <w:tc>
          <w:tcPr>
            <w:tcW w:w="645" w:type="dxa"/>
            <w:vMerge w:val="restart"/>
            <w:noWrap w:val="0"/>
            <w:vAlign w:val="center"/>
          </w:tcPr>
          <w:p w14:paraId="3DB0891E">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其他因素</w:t>
            </w:r>
          </w:p>
        </w:tc>
        <w:tc>
          <w:tcPr>
            <w:tcW w:w="599" w:type="dxa"/>
            <w:noWrap w:val="0"/>
            <w:vAlign w:val="center"/>
          </w:tcPr>
          <w:p w14:paraId="31563F2E">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业绩</w:t>
            </w:r>
          </w:p>
        </w:tc>
        <w:tc>
          <w:tcPr>
            <w:tcW w:w="1199" w:type="dxa"/>
            <w:noWrap w:val="0"/>
            <w:vAlign w:val="center"/>
          </w:tcPr>
          <w:p w14:paraId="642FB83C">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 xml:space="preserve"> 20 分</w:t>
            </w:r>
          </w:p>
        </w:tc>
        <w:tc>
          <w:tcPr>
            <w:tcW w:w="1443" w:type="dxa"/>
            <w:noWrap w:val="0"/>
            <w:vAlign w:val="center"/>
          </w:tcPr>
          <w:p w14:paraId="6BECA7D1">
            <w:pPr>
              <w:ind w:right="113"/>
              <w:jc w:val="center"/>
              <w:rPr>
                <w:rFonts w:hint="eastAsia" w:ascii="宋体" w:hAnsi="宋体" w:eastAsia="宋体" w:cs="宋体"/>
                <w:b w:val="0"/>
                <w:bCs w:val="0"/>
                <w:sz w:val="21"/>
                <w:szCs w:val="21"/>
              </w:rPr>
            </w:pPr>
            <w:r>
              <w:rPr>
                <w:rFonts w:hint="eastAsia" w:ascii="宋体" w:hAnsi="宋体" w:eastAsia="宋体" w:cs="宋体"/>
                <w:b w:val="0"/>
                <w:bCs w:val="0"/>
                <w:spacing w:val="9"/>
                <w:kern w:val="0"/>
                <w:sz w:val="21"/>
                <w:szCs w:val="21"/>
              </w:rPr>
              <w:t>业绩</w:t>
            </w:r>
          </w:p>
        </w:tc>
        <w:tc>
          <w:tcPr>
            <w:tcW w:w="905" w:type="dxa"/>
            <w:noWrap w:val="0"/>
            <w:vAlign w:val="center"/>
          </w:tcPr>
          <w:p w14:paraId="572B8197">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20分</w:t>
            </w:r>
          </w:p>
        </w:tc>
        <w:tc>
          <w:tcPr>
            <w:tcW w:w="3461" w:type="dxa"/>
            <w:noWrap w:val="0"/>
            <w:vAlign w:val="center"/>
          </w:tcPr>
          <w:p w14:paraId="4919BDA3">
            <w:pPr>
              <w:pStyle w:val="3"/>
              <w:ind w:right="113"/>
              <w:rPr>
                <w:rFonts w:hint="eastAsia" w:ascii="宋体" w:hAnsi="宋体" w:eastAsia="宋体" w:cs="宋体"/>
                <w:b w:val="0"/>
                <w:bCs w:val="0"/>
                <w:sz w:val="21"/>
                <w:szCs w:val="21"/>
              </w:rPr>
            </w:pPr>
            <w:r>
              <w:rPr>
                <w:rFonts w:hint="eastAsia" w:ascii="宋体" w:hAnsi="宋体" w:eastAsia="宋体" w:cs="宋体"/>
                <w:b w:val="0"/>
                <w:bCs w:val="0"/>
                <w:sz w:val="21"/>
                <w:szCs w:val="21"/>
              </w:rPr>
              <w:t>每</w:t>
            </w:r>
            <w:r>
              <w:rPr>
                <w:rFonts w:hint="eastAsia" w:ascii="宋体" w:hAnsi="宋体" w:eastAsia="宋体" w:cs="宋体"/>
                <w:b w:val="0"/>
                <w:bCs w:val="0"/>
                <w:sz w:val="21"/>
                <w:szCs w:val="21"/>
                <w:lang w:val="en-US" w:eastAsia="zh-CN"/>
              </w:rPr>
              <w:t>完成</w:t>
            </w:r>
            <w:r>
              <w:rPr>
                <w:rFonts w:hint="eastAsia" w:ascii="宋体" w:hAnsi="宋体" w:eastAsia="宋体" w:cs="宋体"/>
                <w:b w:val="0"/>
                <w:bCs w:val="0"/>
                <w:sz w:val="21"/>
                <w:szCs w:val="21"/>
              </w:rPr>
              <w:t>一项公路养护</w:t>
            </w:r>
            <w:r>
              <w:rPr>
                <w:rFonts w:hint="eastAsia" w:ascii="宋体" w:hAnsi="宋体" w:eastAsia="宋体" w:cs="宋体"/>
                <w:b w:val="0"/>
                <w:bCs w:val="0"/>
                <w:sz w:val="21"/>
                <w:szCs w:val="21"/>
                <w:lang w:val="en-US" w:eastAsia="zh-CN"/>
              </w:rPr>
              <w:t>工程</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工作内容包含</w:t>
            </w:r>
            <w:r>
              <w:rPr>
                <w:rFonts w:hint="eastAsia" w:ascii="宋体" w:hAnsi="宋体" w:eastAsia="宋体" w:cs="宋体"/>
                <w:b w:val="0"/>
                <w:bCs w:val="0"/>
                <w:sz w:val="21"/>
                <w:szCs w:val="21"/>
              </w:rPr>
              <w:t>交通安全设施）业绩加5分，最多加20分。</w:t>
            </w:r>
          </w:p>
        </w:tc>
      </w:tr>
      <w:tr w14:paraId="1D79D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853" w:hRule="exact"/>
          <w:jc w:val="center"/>
        </w:trPr>
        <w:tc>
          <w:tcPr>
            <w:tcW w:w="940" w:type="dxa"/>
            <w:vMerge w:val="continue"/>
            <w:noWrap w:val="0"/>
            <w:vAlign w:val="center"/>
          </w:tcPr>
          <w:p w14:paraId="0F1B1CF1">
            <w:pPr>
              <w:jc w:val="center"/>
              <w:rPr>
                <w:rFonts w:hint="eastAsia" w:ascii="宋体" w:hAnsi="宋体" w:eastAsia="宋体" w:cs="宋体"/>
                <w:b w:val="0"/>
                <w:bCs w:val="0"/>
                <w:sz w:val="21"/>
                <w:szCs w:val="21"/>
              </w:rPr>
            </w:pPr>
          </w:p>
        </w:tc>
        <w:tc>
          <w:tcPr>
            <w:tcW w:w="645" w:type="dxa"/>
            <w:vMerge w:val="continue"/>
            <w:noWrap w:val="0"/>
            <w:vAlign w:val="center"/>
          </w:tcPr>
          <w:p w14:paraId="33FFE09D">
            <w:pPr>
              <w:jc w:val="center"/>
              <w:rPr>
                <w:rFonts w:hint="eastAsia" w:ascii="宋体" w:hAnsi="宋体" w:eastAsia="宋体" w:cs="宋体"/>
                <w:b w:val="0"/>
                <w:bCs w:val="0"/>
                <w:sz w:val="21"/>
                <w:szCs w:val="21"/>
              </w:rPr>
            </w:pPr>
          </w:p>
        </w:tc>
        <w:tc>
          <w:tcPr>
            <w:tcW w:w="599" w:type="dxa"/>
            <w:noWrap w:val="0"/>
            <w:vAlign w:val="center"/>
          </w:tcPr>
          <w:p w14:paraId="0393AF32">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履约信誉</w:t>
            </w:r>
          </w:p>
        </w:tc>
        <w:tc>
          <w:tcPr>
            <w:tcW w:w="1199" w:type="dxa"/>
            <w:noWrap w:val="0"/>
            <w:vAlign w:val="center"/>
          </w:tcPr>
          <w:p w14:paraId="5BD15801">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 xml:space="preserve"> 10 分</w:t>
            </w:r>
          </w:p>
        </w:tc>
        <w:tc>
          <w:tcPr>
            <w:tcW w:w="1443" w:type="dxa"/>
            <w:noWrap w:val="0"/>
            <w:vAlign w:val="center"/>
          </w:tcPr>
          <w:p w14:paraId="5AD4ABD3">
            <w:pPr>
              <w:ind w:left="113" w:right="113" w:firstLine="4" w:firstLineChars="2"/>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信誉</w:t>
            </w:r>
          </w:p>
        </w:tc>
        <w:tc>
          <w:tcPr>
            <w:tcW w:w="905" w:type="dxa"/>
            <w:noWrap w:val="0"/>
            <w:vAlign w:val="center"/>
          </w:tcPr>
          <w:p w14:paraId="2EEF01DB">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10分</w:t>
            </w:r>
          </w:p>
        </w:tc>
        <w:tc>
          <w:tcPr>
            <w:tcW w:w="3461" w:type="dxa"/>
            <w:noWrap w:val="0"/>
            <w:vAlign w:val="center"/>
          </w:tcPr>
          <w:p w14:paraId="56620AB8">
            <w:pPr>
              <w:keepNext w:val="0"/>
              <w:keepLines w:val="0"/>
              <w:pageBreakBefore w:val="0"/>
              <w:widowControl w:val="0"/>
              <w:kinsoku/>
              <w:wordWrap/>
              <w:overflowPunct/>
              <w:topLinePunct w:val="0"/>
              <w:autoSpaceDE w:val="0"/>
              <w:autoSpaceDN w:val="0"/>
              <w:bidi w:val="0"/>
              <w:adjustRightInd/>
              <w:spacing w:line="360" w:lineRule="exac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信誉等级AA、A得10分</w:t>
            </w:r>
          </w:p>
          <w:p w14:paraId="60F0C474">
            <w:pPr>
              <w:keepNext w:val="0"/>
              <w:keepLines w:val="0"/>
              <w:pageBreakBefore w:val="0"/>
              <w:widowControl w:val="0"/>
              <w:kinsoku/>
              <w:wordWrap/>
              <w:overflowPunct/>
              <w:topLinePunct w:val="0"/>
              <w:autoSpaceDE w:val="0"/>
              <w:autoSpaceDN w:val="0"/>
              <w:bidi w:val="0"/>
              <w:adjustRightInd/>
              <w:spacing w:line="360" w:lineRule="exac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信誉等级B得5分</w:t>
            </w:r>
          </w:p>
          <w:p w14:paraId="2CC35B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信誉等级C、D得0分</w:t>
            </w:r>
          </w:p>
          <w:p w14:paraId="150987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投标人的信用评价等级按照以下原则认定（如无前一条的信用评价结果，则依次应用下一条的信用评价结果）：</w:t>
            </w:r>
          </w:p>
          <w:p w14:paraId="0E3831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（1）《吉林省公路管理局2025年普通国省干线公路养护工程施工企业信用评价结果公告》中投标人的信用等级。</w:t>
            </w:r>
          </w:p>
          <w:p w14:paraId="2B8CBE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（2）《吉林省公路管理局2024年度普通干线公路养护工程企业信用评价公告》及《吉林省公路管理局2024年度普通干线公路养护工程企业信用评价调整结果公告》中投标人的信用等级。</w:t>
            </w:r>
          </w:p>
          <w:p w14:paraId="4A632C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（3）“全国公路建设市场监督管理系统/全国公路从业单位信用评价结果”中，投标人以施工企业获得的2024年度信用等级。</w:t>
            </w:r>
          </w:p>
          <w:p w14:paraId="398CEC25">
            <w:pPr>
              <w:keepNext w:val="0"/>
              <w:keepLines w:val="0"/>
              <w:pageBreakBefore w:val="0"/>
              <w:widowControl w:val="0"/>
              <w:kinsoku/>
              <w:wordWrap/>
              <w:overflowPunct/>
              <w:topLinePunct w:val="0"/>
              <w:autoSpaceDE w:val="0"/>
              <w:autoSpaceDN w:val="0"/>
              <w:bidi w:val="0"/>
              <w:adjustRightInd/>
              <w:spacing w:line="360" w:lineRule="exact"/>
              <w:textAlignment w:val="auto"/>
              <w:rPr>
                <w:rFonts w:hint="eastAsia" w:ascii="宋体" w:hAnsi="宋体" w:eastAsia="宋体" w:cs="宋体"/>
                <w:b w:val="0"/>
                <w:bCs w:val="0"/>
                <w:sz w:val="21"/>
                <w:szCs w:val="21"/>
              </w:rPr>
            </w:pPr>
            <w:r>
              <w:rPr>
                <w:rFonts w:hint="eastAsia" w:ascii="宋体" w:hAnsi="宋体" w:eastAsia="宋体" w:cs="宋体"/>
                <w:b w:val="0"/>
                <w:bCs w:val="0"/>
                <w:color w:val="auto"/>
                <w:sz w:val="21"/>
                <w:szCs w:val="21"/>
                <w:highlight w:val="none"/>
                <w:lang w:val="en-US" w:eastAsia="zh-CN"/>
              </w:rPr>
              <w:t>（4）无以上综合评价结果的，根据“全国公路建设市场监督管理系统/不良行为记录”查询结果，若无不良信用记录，按A级对待；若有不良信用记录，视其严重程度按B级及以下对待。</w:t>
            </w:r>
          </w:p>
        </w:tc>
      </w:tr>
      <w:tr w14:paraId="1115C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6" w:hRule="exact"/>
          <w:jc w:val="center"/>
        </w:trPr>
        <w:tc>
          <w:tcPr>
            <w:tcW w:w="9192" w:type="dxa"/>
            <w:gridSpan w:val="7"/>
            <w:noWrap w:val="0"/>
            <w:vAlign w:val="center"/>
          </w:tcPr>
          <w:p w14:paraId="69944BFA">
            <w:pPr>
              <w:adjustRightInd w:val="0"/>
              <w:snapToGrid w:val="0"/>
              <w:spacing w:line="360" w:lineRule="exact"/>
              <w:ind w:firstLine="210" w:firstLineChars="100"/>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需要补充的其他内容：</w:t>
            </w:r>
          </w:p>
          <w:p w14:paraId="4B16EB8B">
            <w:pPr>
              <w:keepNext w:val="0"/>
              <w:keepLines w:val="0"/>
              <w:pageBreakBefore w:val="0"/>
              <w:widowControl w:val="0"/>
              <w:kinsoku/>
              <w:wordWrap/>
              <w:overflowPunct/>
              <w:topLinePunct w:val="0"/>
              <w:autoSpaceDE w:val="0"/>
              <w:autoSpaceDN w:val="0"/>
              <w:bidi w:val="0"/>
              <w:adjustRightInd/>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000000"/>
                <w:kern w:val="0"/>
                <w:sz w:val="21"/>
                <w:szCs w:val="21"/>
                <w:highlight w:val="none"/>
                <w:lang w:val="en-US" w:eastAsia="zh-CN" w:bidi="ar"/>
              </w:rPr>
              <w:t>技术文件（技术建议书）采用“暗标”评审，如果某投标人的技术建议书没有按照招标文件规定的格式、内容编制，且经评标委员会认定会暴露投标人身份的，评标委员会应一致将其技术建议书部分评为0分，随后在详细评审汇总步骤否决其投标，并在评标报告中作出说明。</w:t>
            </w:r>
          </w:p>
        </w:tc>
      </w:tr>
    </w:tbl>
    <w:p w14:paraId="289C75CA">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hint="eastAsia" w:ascii="宋体" w:hAnsi="宋体" w:eastAsia="宋体"/>
          <w:b w:val="0"/>
          <w:sz w:val="21"/>
          <w:szCs w:val="21"/>
        </w:rPr>
      </w:pPr>
      <w:bookmarkStart w:id="8" w:name="_Toc184635093"/>
      <w:r>
        <w:rPr>
          <w:rFonts w:ascii="宋体" w:hAnsi="宋体" w:eastAsia="宋体"/>
          <w:b w:val="0"/>
          <w:sz w:val="21"/>
          <w:szCs w:val="21"/>
        </w:rPr>
        <w:t>1</w:t>
      </w:r>
      <w:r>
        <w:rPr>
          <w:rFonts w:hint="eastAsia" w:ascii="宋体" w:hAnsi="宋体" w:eastAsia="宋体"/>
          <w:b w:val="0"/>
          <w:sz w:val="21"/>
          <w:szCs w:val="21"/>
        </w:rPr>
        <w:t>、评标方法</w:t>
      </w:r>
      <w:bookmarkEnd w:id="8"/>
    </w:p>
    <w:p w14:paraId="013443BB">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本次评标采用综合评估法。评标委员会对满足招标文件实质性要求的投标文件，按照本章第2.2 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14:paraId="3F4C0BDC">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hint="eastAsia" w:ascii="宋体" w:hAnsi="宋体" w:eastAsia="宋体"/>
          <w:b w:val="0"/>
          <w:sz w:val="21"/>
          <w:szCs w:val="21"/>
        </w:rPr>
      </w:pPr>
      <w:bookmarkStart w:id="9" w:name="_Toc184635094"/>
      <w:r>
        <w:rPr>
          <w:rFonts w:ascii="宋体" w:hAnsi="宋体" w:eastAsia="宋体"/>
          <w:b w:val="0"/>
          <w:sz w:val="21"/>
          <w:szCs w:val="21"/>
        </w:rPr>
        <w:t>2</w:t>
      </w:r>
      <w:r>
        <w:rPr>
          <w:rFonts w:hint="eastAsia" w:ascii="宋体" w:hAnsi="宋体" w:eastAsia="宋体"/>
          <w:b w:val="0"/>
          <w:sz w:val="21"/>
          <w:szCs w:val="21"/>
        </w:rPr>
        <w:t>、评审标准</w:t>
      </w:r>
      <w:bookmarkEnd w:id="9"/>
    </w:p>
    <w:p w14:paraId="1B5E49CB">
      <w:pPr>
        <w:pStyle w:val="2"/>
        <w:pageBreakBefore w:val="0"/>
        <w:widowControl w:val="0"/>
        <w:tabs>
          <w:tab w:val="left" w:pos="2505"/>
        </w:tabs>
        <w:kinsoku/>
        <w:wordWrap/>
        <w:overflowPunct/>
        <w:topLinePunct w:val="0"/>
        <w:autoSpaceDE/>
        <w:autoSpaceDN/>
        <w:bidi w:val="0"/>
        <w:adjustRightInd/>
        <w:snapToGrid w:val="0"/>
        <w:spacing w:before="0" w:after="0" w:line="360" w:lineRule="exact"/>
        <w:ind w:firstLine="420" w:firstLineChars="200"/>
        <w:textAlignment w:val="auto"/>
        <w:rPr>
          <w:rFonts w:ascii="宋体" w:hAnsi="宋体" w:eastAsia="宋体"/>
          <w:b w:val="0"/>
          <w:sz w:val="21"/>
          <w:szCs w:val="21"/>
        </w:rPr>
      </w:pPr>
      <w:r>
        <w:rPr>
          <w:rFonts w:ascii="宋体" w:hAnsi="宋体" w:eastAsia="宋体"/>
          <w:b w:val="0"/>
          <w:sz w:val="21"/>
          <w:szCs w:val="21"/>
        </w:rPr>
        <w:t xml:space="preserve">2.1 </w:t>
      </w:r>
      <w:r>
        <w:rPr>
          <w:rFonts w:hint="eastAsia" w:ascii="宋体" w:hAnsi="宋体" w:eastAsia="宋体"/>
          <w:b w:val="0"/>
          <w:sz w:val="21"/>
          <w:szCs w:val="21"/>
        </w:rPr>
        <w:t>初步评审标准</w:t>
      </w:r>
      <w:r>
        <w:rPr>
          <w:rFonts w:ascii="宋体" w:hAnsi="宋体" w:eastAsia="宋体"/>
          <w:b w:val="0"/>
          <w:sz w:val="21"/>
          <w:szCs w:val="21"/>
        </w:rPr>
        <w:tab/>
      </w:r>
    </w:p>
    <w:p w14:paraId="3FBC660D">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2.1.1 形式评审标准：见评标办法前附表。</w:t>
      </w:r>
    </w:p>
    <w:p w14:paraId="408B8ECF">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2.1.2 资格评审标准：见评标办法前附表</w:t>
      </w:r>
      <w:r>
        <w:rPr>
          <w:rFonts w:ascii="宋体" w:hAnsi="宋体"/>
          <w:szCs w:val="21"/>
        </w:rPr>
        <w:t>（适用于</w:t>
      </w:r>
      <w:r>
        <w:rPr>
          <w:rFonts w:hint="eastAsia" w:ascii="宋体" w:hAnsi="宋体"/>
          <w:szCs w:val="21"/>
        </w:rPr>
        <w:t>未</w:t>
      </w:r>
      <w:r>
        <w:rPr>
          <w:rFonts w:ascii="宋体" w:hAnsi="宋体"/>
          <w:szCs w:val="21"/>
        </w:rPr>
        <w:t>进行资格预审的）</w:t>
      </w:r>
      <w:r>
        <w:rPr>
          <w:rFonts w:hint="eastAsia" w:ascii="宋体" w:hAnsi="宋体"/>
          <w:szCs w:val="21"/>
        </w:rPr>
        <w:t>。</w:t>
      </w:r>
    </w:p>
    <w:p w14:paraId="3B4B257A">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2.1.3 响应性评审标准：见评标办法前附表。</w:t>
      </w:r>
    </w:p>
    <w:p w14:paraId="3F1713E8">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hint="eastAsia" w:ascii="宋体" w:hAnsi="宋体" w:eastAsia="宋体"/>
          <w:b w:val="0"/>
          <w:sz w:val="21"/>
          <w:szCs w:val="21"/>
        </w:rPr>
      </w:pPr>
      <w:r>
        <w:rPr>
          <w:rFonts w:ascii="宋体" w:hAnsi="宋体" w:eastAsia="宋体"/>
          <w:b w:val="0"/>
          <w:sz w:val="21"/>
          <w:szCs w:val="21"/>
        </w:rPr>
        <w:t xml:space="preserve">2.2 </w:t>
      </w:r>
      <w:r>
        <w:rPr>
          <w:rFonts w:hint="eastAsia" w:ascii="宋体" w:hAnsi="宋体" w:eastAsia="宋体"/>
          <w:b w:val="0"/>
          <w:sz w:val="21"/>
          <w:szCs w:val="21"/>
        </w:rPr>
        <w:t>分值构成与评分标准</w:t>
      </w:r>
    </w:p>
    <w:p w14:paraId="7833AF59">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2.2.1 分值构成</w:t>
      </w:r>
    </w:p>
    <w:p w14:paraId="4982D149">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lang w:eastAsia="zh-CN"/>
        </w:rPr>
        <w:t>（</w:t>
      </w:r>
      <w:r>
        <w:rPr>
          <w:rFonts w:hint="eastAsia" w:ascii="宋体" w:hAnsi="宋体"/>
          <w:szCs w:val="21"/>
        </w:rPr>
        <w:t>l）技术建议书：见评标办法前附表；</w:t>
      </w:r>
    </w:p>
    <w:p w14:paraId="0B3F55F2">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lang w:eastAsia="zh-CN"/>
        </w:rPr>
        <w:t>（</w:t>
      </w:r>
      <w:r>
        <w:rPr>
          <w:rFonts w:hint="eastAsia" w:ascii="宋体" w:hAnsi="宋体"/>
          <w:szCs w:val="21"/>
        </w:rPr>
        <w:t>2）主要人员：见评标办法前附表；</w:t>
      </w:r>
    </w:p>
    <w:p w14:paraId="5A7ACF60">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lang w:eastAsia="zh-CN"/>
        </w:rPr>
        <w:t>（</w:t>
      </w:r>
      <w:r>
        <w:rPr>
          <w:rFonts w:hint="eastAsia" w:ascii="宋体" w:hAnsi="宋体"/>
          <w:szCs w:val="21"/>
        </w:rPr>
        <w:t>3）评标价：见评标办法前附表；</w:t>
      </w:r>
    </w:p>
    <w:p w14:paraId="257FD7F3">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lang w:eastAsia="zh-CN"/>
        </w:rPr>
        <w:t>（</w:t>
      </w:r>
      <w:r>
        <w:rPr>
          <w:rFonts w:hint="eastAsia" w:ascii="宋体" w:hAnsi="宋体"/>
          <w:szCs w:val="21"/>
        </w:rPr>
        <w:t>4）其他评分因素：见评标办法前附表。</w:t>
      </w:r>
    </w:p>
    <w:p w14:paraId="3C52F3FC">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2.2.2 评标基准价计算</w:t>
      </w:r>
    </w:p>
    <w:p w14:paraId="2EDCA900">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评标基准价计算方法：见评标办法前附表。</w:t>
      </w:r>
    </w:p>
    <w:p w14:paraId="0ADF8F06">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2.2.3 投标报价的偏差率计算</w:t>
      </w:r>
    </w:p>
    <w:p w14:paraId="2BE7D132">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评标价的偏差率计算公式：见评标办法前附表。</w:t>
      </w:r>
    </w:p>
    <w:p w14:paraId="50BD066F">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2.2.4 评分标准</w:t>
      </w:r>
    </w:p>
    <w:p w14:paraId="06AD4D69">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lang w:eastAsia="zh-CN"/>
        </w:rPr>
        <w:t>（</w:t>
      </w:r>
      <w:r>
        <w:rPr>
          <w:rFonts w:hint="eastAsia" w:ascii="宋体" w:hAnsi="宋体"/>
          <w:szCs w:val="21"/>
        </w:rPr>
        <w:t>1）技术建议书评分标准：见评标办法前附表；</w:t>
      </w:r>
    </w:p>
    <w:p w14:paraId="0EA0C452">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lang w:eastAsia="zh-CN"/>
        </w:rPr>
        <w:t>（</w:t>
      </w:r>
      <w:r>
        <w:rPr>
          <w:rFonts w:hint="eastAsia" w:ascii="宋体" w:hAnsi="宋体"/>
          <w:szCs w:val="21"/>
        </w:rPr>
        <w:t>2）主要人员评分标准：见评标办法前附表；</w:t>
      </w:r>
    </w:p>
    <w:p w14:paraId="59250CF9">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lang w:eastAsia="zh-CN"/>
        </w:rPr>
        <w:t>（</w:t>
      </w:r>
      <w:r>
        <w:rPr>
          <w:rFonts w:hint="eastAsia" w:ascii="宋体" w:hAnsi="宋体"/>
          <w:szCs w:val="21"/>
        </w:rPr>
        <w:t>3）评标价评分标准：见评标办法前附表；</w:t>
      </w:r>
    </w:p>
    <w:p w14:paraId="253601E4">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lang w:eastAsia="zh-CN"/>
        </w:rPr>
        <w:t>（</w:t>
      </w:r>
      <w:r>
        <w:rPr>
          <w:rFonts w:hint="eastAsia" w:ascii="宋体" w:hAnsi="宋体"/>
          <w:szCs w:val="21"/>
        </w:rPr>
        <w:t>4）其他因素评分标准：见评标办法前附表。</w:t>
      </w:r>
    </w:p>
    <w:p w14:paraId="7EBF6F81">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ascii="宋体" w:hAnsi="宋体" w:eastAsia="宋体"/>
          <w:b w:val="0"/>
          <w:sz w:val="21"/>
          <w:szCs w:val="21"/>
        </w:rPr>
      </w:pPr>
      <w:r>
        <w:rPr>
          <w:rFonts w:ascii="宋体" w:hAnsi="宋体" w:eastAsia="宋体"/>
          <w:b w:val="0"/>
          <w:sz w:val="21"/>
          <w:szCs w:val="21"/>
        </w:rPr>
        <w:t>3. 评标程序</w:t>
      </w:r>
    </w:p>
    <w:p w14:paraId="4C8115AA">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ascii="宋体" w:hAnsi="宋体" w:eastAsia="宋体"/>
          <w:b w:val="0"/>
          <w:sz w:val="21"/>
          <w:szCs w:val="21"/>
        </w:rPr>
      </w:pPr>
      <w:r>
        <w:rPr>
          <w:rFonts w:ascii="宋体" w:hAnsi="宋体" w:eastAsia="宋体"/>
          <w:b w:val="0"/>
          <w:sz w:val="21"/>
          <w:szCs w:val="21"/>
        </w:rPr>
        <w:t xml:space="preserve">3.1 </w:t>
      </w:r>
      <w:r>
        <w:rPr>
          <w:rFonts w:hint="eastAsia" w:ascii="宋体" w:hAnsi="宋体" w:eastAsia="宋体"/>
          <w:b w:val="0"/>
          <w:sz w:val="21"/>
          <w:szCs w:val="21"/>
        </w:rPr>
        <w:t>第一个信封</w:t>
      </w:r>
      <w:r>
        <w:rPr>
          <w:rFonts w:ascii="宋体" w:hAnsi="宋体" w:eastAsia="宋体"/>
          <w:b w:val="0"/>
          <w:sz w:val="21"/>
          <w:szCs w:val="21"/>
        </w:rPr>
        <w:t>初步评审</w:t>
      </w:r>
    </w:p>
    <w:p w14:paraId="1B936BEC">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ascii="宋体" w:hAnsi="宋体"/>
          <w:szCs w:val="21"/>
        </w:rPr>
        <w:t>3.1.1 评标委员会可以要求投标人提交第二章“投标人须知”第3.5.1项至第3.5.</w:t>
      </w:r>
      <w:r>
        <w:rPr>
          <w:rFonts w:hint="eastAsia" w:ascii="宋体" w:hAnsi="宋体"/>
          <w:szCs w:val="21"/>
        </w:rPr>
        <w:t>5</w:t>
      </w:r>
      <w:r>
        <w:rPr>
          <w:rFonts w:ascii="宋体" w:hAnsi="宋体"/>
          <w:szCs w:val="21"/>
        </w:rPr>
        <w:t>项规定的有关证明和证件的原件，以便核验。评标委员会依据本章第2.1款规定的标准对投标文件</w:t>
      </w:r>
      <w:r>
        <w:rPr>
          <w:rFonts w:hint="eastAsia" w:ascii="宋体" w:hAnsi="宋体"/>
          <w:szCs w:val="21"/>
        </w:rPr>
        <w:t>第一个信封（商务及技术文件）</w:t>
      </w:r>
      <w:r>
        <w:rPr>
          <w:rFonts w:ascii="宋体" w:hAnsi="宋体"/>
          <w:szCs w:val="21"/>
        </w:rPr>
        <w:t>进行初步评审。有一项不符合评审标准的，</w:t>
      </w:r>
      <w:r>
        <w:rPr>
          <w:rFonts w:hint="eastAsia" w:ascii="宋体" w:hAnsi="宋体"/>
          <w:szCs w:val="21"/>
        </w:rPr>
        <w:t>评标委员会应否决其投标</w:t>
      </w:r>
      <w:r>
        <w:rPr>
          <w:rFonts w:ascii="宋体" w:hAnsi="宋体"/>
          <w:szCs w:val="21"/>
        </w:rPr>
        <w:t>。（适用于未进行资格预审的）</w:t>
      </w:r>
    </w:p>
    <w:p w14:paraId="41F706A6">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ascii="宋体" w:hAnsi="宋体" w:eastAsia="宋体"/>
          <w:b w:val="0"/>
          <w:sz w:val="21"/>
          <w:szCs w:val="21"/>
        </w:rPr>
      </w:pPr>
      <w:r>
        <w:rPr>
          <w:rFonts w:ascii="宋体" w:hAnsi="宋体" w:eastAsia="宋体"/>
          <w:b w:val="0"/>
          <w:sz w:val="21"/>
          <w:szCs w:val="21"/>
        </w:rPr>
        <w:t>3.</w:t>
      </w:r>
      <w:r>
        <w:rPr>
          <w:rFonts w:hint="eastAsia" w:ascii="宋体" w:hAnsi="宋体" w:eastAsia="宋体"/>
          <w:b w:val="0"/>
          <w:sz w:val="21"/>
          <w:szCs w:val="21"/>
        </w:rPr>
        <w:t>2</w:t>
      </w:r>
      <w:r>
        <w:rPr>
          <w:rFonts w:ascii="宋体" w:hAnsi="宋体" w:eastAsia="宋体"/>
          <w:b w:val="0"/>
          <w:sz w:val="21"/>
          <w:szCs w:val="21"/>
        </w:rPr>
        <w:t xml:space="preserve"> </w:t>
      </w:r>
      <w:r>
        <w:rPr>
          <w:rFonts w:hint="eastAsia" w:ascii="宋体" w:hAnsi="宋体" w:eastAsia="宋体"/>
          <w:b w:val="0"/>
          <w:sz w:val="21"/>
          <w:szCs w:val="21"/>
        </w:rPr>
        <w:t>第一个信封详细评审</w:t>
      </w:r>
    </w:p>
    <w:p w14:paraId="7900950B">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3.2.1评标委员会按本章第2.2款规定的量化因素和分值进行打分，并计算出各投标人的商务和技术得分。</w:t>
      </w:r>
    </w:p>
    <w:p w14:paraId="0C06FAA5">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（1）按本章第2.2.4项（1）目规定的评审因素和分值对技术建议书部分计算出得分A；</w:t>
      </w:r>
    </w:p>
    <w:p w14:paraId="15114256">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（2）按本章第2.2.4项（2）目规定的评审因素和分值对主要人员部分计算出得分B；</w:t>
      </w:r>
    </w:p>
    <w:p w14:paraId="76CACDD8">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（3）按本章第2.2.4项（4）目规定的评审因素和分值对其他部分计算出得分D。</w:t>
      </w:r>
    </w:p>
    <w:p w14:paraId="6B965B8A">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3.2.2投标人的商务和技术得分分值计算保留小数点后两位，小数点后第三位“四舍五入”。</w:t>
      </w:r>
    </w:p>
    <w:p w14:paraId="276E63FA">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3.2.3投标人的商务和技术得分=A+B+D。</w:t>
      </w:r>
    </w:p>
    <w:p w14:paraId="4234D882">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ascii="宋体" w:hAnsi="宋体" w:eastAsia="宋体"/>
          <w:b w:val="0"/>
          <w:sz w:val="21"/>
          <w:szCs w:val="21"/>
        </w:rPr>
      </w:pPr>
      <w:r>
        <w:rPr>
          <w:rFonts w:ascii="宋体" w:hAnsi="宋体" w:eastAsia="宋体"/>
          <w:b w:val="0"/>
          <w:sz w:val="21"/>
          <w:szCs w:val="21"/>
        </w:rPr>
        <w:t>3.</w:t>
      </w:r>
      <w:r>
        <w:rPr>
          <w:rFonts w:hint="eastAsia" w:ascii="宋体" w:hAnsi="宋体" w:eastAsia="宋体"/>
          <w:b w:val="0"/>
          <w:sz w:val="21"/>
          <w:szCs w:val="21"/>
        </w:rPr>
        <w:t>3</w:t>
      </w:r>
      <w:r>
        <w:rPr>
          <w:rFonts w:ascii="宋体" w:hAnsi="宋体" w:eastAsia="宋体"/>
          <w:b w:val="0"/>
          <w:sz w:val="21"/>
          <w:szCs w:val="21"/>
        </w:rPr>
        <w:t xml:space="preserve"> </w:t>
      </w:r>
      <w:r>
        <w:rPr>
          <w:rFonts w:hint="eastAsia" w:ascii="宋体" w:hAnsi="宋体" w:eastAsia="宋体"/>
          <w:b w:val="0"/>
          <w:sz w:val="21"/>
          <w:szCs w:val="21"/>
        </w:rPr>
        <w:t>第二个信封开标</w:t>
      </w:r>
    </w:p>
    <w:p w14:paraId="782BCA46">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第一个信封（商务及技术文件）评审结束后，招标人将按照第二章“投标人须知”第5.1款规定的时间和地点对通过投标文件第一个信封（商务及技术文件）评审的投标文件第二个信封（报价文件）进行开标。</w:t>
      </w:r>
    </w:p>
    <w:p w14:paraId="5BD0605D">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ascii="宋体" w:hAnsi="宋体" w:eastAsia="宋体"/>
          <w:b w:val="0"/>
          <w:sz w:val="21"/>
          <w:szCs w:val="21"/>
        </w:rPr>
      </w:pPr>
      <w:r>
        <w:rPr>
          <w:rFonts w:ascii="宋体" w:hAnsi="宋体" w:eastAsia="宋体"/>
          <w:b w:val="0"/>
          <w:sz w:val="21"/>
          <w:szCs w:val="21"/>
        </w:rPr>
        <w:t>3.</w:t>
      </w:r>
      <w:r>
        <w:rPr>
          <w:rFonts w:hint="eastAsia" w:ascii="宋体" w:hAnsi="宋体" w:eastAsia="宋体"/>
          <w:b w:val="0"/>
          <w:sz w:val="21"/>
          <w:szCs w:val="21"/>
        </w:rPr>
        <w:t>4</w:t>
      </w:r>
      <w:r>
        <w:rPr>
          <w:rFonts w:ascii="宋体" w:hAnsi="宋体" w:eastAsia="宋体"/>
          <w:b w:val="0"/>
          <w:sz w:val="21"/>
          <w:szCs w:val="21"/>
        </w:rPr>
        <w:t xml:space="preserve"> </w:t>
      </w:r>
      <w:r>
        <w:rPr>
          <w:rFonts w:hint="eastAsia" w:ascii="宋体" w:hAnsi="宋体" w:eastAsia="宋体"/>
          <w:b w:val="0"/>
          <w:sz w:val="21"/>
          <w:szCs w:val="21"/>
        </w:rPr>
        <w:t>第二个信封</w:t>
      </w:r>
      <w:r>
        <w:rPr>
          <w:rFonts w:ascii="宋体" w:hAnsi="宋体" w:eastAsia="宋体"/>
          <w:b w:val="0"/>
          <w:sz w:val="21"/>
          <w:szCs w:val="21"/>
        </w:rPr>
        <w:t>初步评审</w:t>
      </w:r>
    </w:p>
    <w:p w14:paraId="51A9160A">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ascii="宋体" w:hAnsi="宋体"/>
          <w:szCs w:val="21"/>
        </w:rPr>
        <w:t>3.</w:t>
      </w:r>
      <w:r>
        <w:rPr>
          <w:rFonts w:hint="eastAsia" w:ascii="宋体" w:hAnsi="宋体"/>
          <w:szCs w:val="21"/>
        </w:rPr>
        <w:t>4</w:t>
      </w:r>
      <w:r>
        <w:rPr>
          <w:rFonts w:ascii="宋体" w:hAnsi="宋体"/>
          <w:szCs w:val="21"/>
        </w:rPr>
        <w:t>.1 评标委员会依据本章第2.1.1项、第2.1.3项规定的</w:t>
      </w:r>
      <w:r>
        <w:rPr>
          <w:rFonts w:hint="eastAsia" w:ascii="宋体" w:hAnsi="宋体"/>
          <w:szCs w:val="21"/>
        </w:rPr>
        <w:t>评审</w:t>
      </w:r>
      <w:r>
        <w:rPr>
          <w:rFonts w:ascii="宋体" w:hAnsi="宋体"/>
          <w:szCs w:val="21"/>
        </w:rPr>
        <w:t>标准对投标文件</w:t>
      </w:r>
      <w:r>
        <w:rPr>
          <w:rFonts w:hint="eastAsia" w:ascii="宋体" w:hAnsi="宋体"/>
          <w:szCs w:val="21"/>
        </w:rPr>
        <w:t>第二个信封（报价文件）</w:t>
      </w:r>
      <w:r>
        <w:rPr>
          <w:rFonts w:ascii="宋体" w:hAnsi="宋体"/>
          <w:szCs w:val="21"/>
        </w:rPr>
        <w:t>进行初步评审。有一项不符合评审标准的，</w:t>
      </w:r>
      <w:r>
        <w:rPr>
          <w:rFonts w:hint="eastAsia" w:ascii="宋体" w:hAnsi="宋体"/>
          <w:szCs w:val="21"/>
        </w:rPr>
        <w:t>评标委员会应否决其投标</w:t>
      </w:r>
      <w:r>
        <w:rPr>
          <w:rFonts w:ascii="宋体" w:hAnsi="宋体"/>
          <w:szCs w:val="21"/>
        </w:rPr>
        <w:t>。</w:t>
      </w:r>
    </w:p>
    <w:p w14:paraId="273E8FEF">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ascii="宋体" w:hAnsi="宋体"/>
          <w:szCs w:val="21"/>
        </w:rPr>
        <w:t>3.</w:t>
      </w:r>
      <w:r>
        <w:rPr>
          <w:rFonts w:hint="eastAsia" w:ascii="宋体" w:hAnsi="宋体"/>
          <w:szCs w:val="21"/>
        </w:rPr>
        <w:t>4</w:t>
      </w:r>
      <w:r>
        <w:rPr>
          <w:rFonts w:ascii="宋体" w:hAnsi="宋体"/>
          <w:szCs w:val="21"/>
        </w:rPr>
        <w:t>.</w:t>
      </w:r>
      <w:r>
        <w:rPr>
          <w:rFonts w:hint="eastAsia" w:ascii="宋体" w:hAnsi="宋体"/>
          <w:szCs w:val="21"/>
        </w:rPr>
        <w:t xml:space="preserve">2 </w:t>
      </w:r>
      <w:r>
        <w:rPr>
          <w:rFonts w:ascii="宋体" w:hAnsi="宋体"/>
          <w:szCs w:val="21"/>
        </w:rPr>
        <w:t>投标报价有算术错误的，评标委员会按以下原则对投标报价进行修正，修正的价格经投标人书面确认后具有约束力。投标人不接受修正价格的，</w:t>
      </w:r>
      <w:r>
        <w:rPr>
          <w:rFonts w:hint="eastAsia" w:ascii="宋体" w:hAnsi="宋体"/>
          <w:szCs w:val="21"/>
        </w:rPr>
        <w:t>评标委员会应否决其投标。</w:t>
      </w:r>
    </w:p>
    <w:p w14:paraId="42B50CCE">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ascii="宋体" w:hAnsi="宋体"/>
          <w:szCs w:val="21"/>
        </w:rPr>
        <w:t>（1）投标文件中的大写金额与小写金额不一致的，以大写金额为准；</w:t>
      </w:r>
    </w:p>
    <w:p w14:paraId="685CE64A">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ascii="宋体" w:hAnsi="宋体"/>
          <w:szCs w:val="21"/>
        </w:rPr>
        <w:t>（2）总价金额与依据单价计算出的结果不一致的，以单价金额为准修正总价，但单价金额小数点有明显错误的除外</w:t>
      </w:r>
      <w:r>
        <w:rPr>
          <w:rFonts w:hint="eastAsia" w:ascii="宋体" w:hAnsi="宋体"/>
          <w:szCs w:val="21"/>
        </w:rPr>
        <w:t>；</w:t>
      </w:r>
    </w:p>
    <w:p w14:paraId="3CFA140A">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（3）当单价与数量相乘不等于合价时，以单价计算为准，如果单价有明显的小数点位置差错，应以标出的合价为准，同时对单价予以修正；</w:t>
      </w:r>
    </w:p>
    <w:p w14:paraId="364FB0F4">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（4）当各子目的合价累计不等于总价时，应以各子目合价累计数为准，修正总价。</w:t>
      </w:r>
    </w:p>
    <w:p w14:paraId="54A5F2DC">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3.4.3修正后的最终投标报价若超过最高投标限价（如有），评标委员会应否决其投标。</w:t>
      </w:r>
    </w:p>
    <w:p w14:paraId="4774DBD8">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3.4.4修正后的最终投标报价仅作为签订合同的一个依据，不参与评标价得分的计算。</w:t>
      </w:r>
    </w:p>
    <w:p w14:paraId="531FF3C2">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ascii="宋体" w:hAnsi="宋体" w:eastAsia="宋体"/>
          <w:b w:val="0"/>
          <w:sz w:val="21"/>
          <w:szCs w:val="21"/>
        </w:rPr>
      </w:pPr>
      <w:r>
        <w:rPr>
          <w:rFonts w:ascii="宋体" w:hAnsi="宋体" w:eastAsia="宋体"/>
          <w:b w:val="0"/>
          <w:sz w:val="21"/>
          <w:szCs w:val="21"/>
        </w:rPr>
        <w:t>3.</w:t>
      </w:r>
      <w:r>
        <w:rPr>
          <w:rFonts w:hint="eastAsia" w:ascii="宋体" w:hAnsi="宋体" w:eastAsia="宋体"/>
          <w:b w:val="0"/>
          <w:sz w:val="21"/>
          <w:szCs w:val="21"/>
        </w:rPr>
        <w:t>5 第二个信封</w:t>
      </w:r>
      <w:r>
        <w:rPr>
          <w:rFonts w:ascii="宋体" w:hAnsi="宋体" w:eastAsia="宋体"/>
          <w:b w:val="0"/>
          <w:sz w:val="21"/>
          <w:szCs w:val="21"/>
        </w:rPr>
        <w:t>详细评审</w:t>
      </w:r>
    </w:p>
    <w:p w14:paraId="1D11A9D6">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3.5.1 评标委员会按本章第2.2.4项（3）目规定的评审因素和分值对评标价计算出得分C。评标价得分分值计算保留小数点后两位，小数点后第三位“四舍五入”。</w:t>
      </w:r>
    </w:p>
    <w:p w14:paraId="3B47AB85">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3.5.2投标人综合得分=投标人的商务和技术得分+C。</w:t>
      </w:r>
    </w:p>
    <w:p w14:paraId="5FF5A268">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3.5.3评标委员会发现投标人的报价明显低于其他投标报价，使得其投标报价可能低于其个别成本的，应要求该投标人作出书面说明并提供相应的证明材料。投标人不能合理说明或不能提供相应证明材料的，评标委员会应认定该投标人以低于成本报价竞标，并否决其投标。</w:t>
      </w:r>
    </w:p>
    <w:p w14:paraId="403D4AF3">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ascii="宋体" w:hAnsi="宋体" w:eastAsia="宋体"/>
          <w:b w:val="0"/>
          <w:sz w:val="21"/>
          <w:szCs w:val="21"/>
        </w:rPr>
      </w:pPr>
      <w:r>
        <w:rPr>
          <w:rFonts w:ascii="宋体" w:hAnsi="宋体" w:eastAsia="宋体"/>
          <w:b w:val="0"/>
          <w:sz w:val="21"/>
          <w:szCs w:val="21"/>
        </w:rPr>
        <w:t>3.</w:t>
      </w:r>
      <w:r>
        <w:rPr>
          <w:rFonts w:hint="eastAsia" w:ascii="宋体" w:hAnsi="宋体" w:eastAsia="宋体"/>
          <w:b w:val="0"/>
          <w:sz w:val="21"/>
          <w:szCs w:val="21"/>
        </w:rPr>
        <w:t xml:space="preserve">6 </w:t>
      </w:r>
      <w:r>
        <w:rPr>
          <w:rFonts w:ascii="宋体" w:hAnsi="宋体" w:eastAsia="宋体"/>
          <w:b w:val="0"/>
          <w:sz w:val="21"/>
          <w:szCs w:val="21"/>
        </w:rPr>
        <w:t>投标文件</w:t>
      </w:r>
      <w:r>
        <w:rPr>
          <w:rFonts w:hint="eastAsia" w:ascii="宋体" w:hAnsi="宋体" w:eastAsia="宋体"/>
          <w:b w:val="0"/>
          <w:sz w:val="21"/>
          <w:szCs w:val="21"/>
        </w:rPr>
        <w:t>相关信息的核查</w:t>
      </w:r>
    </w:p>
    <w:p w14:paraId="173B21E1">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3.6.1在评标过程中，评标委员会应查询交通运输主管部门“公路建设市场信用信息管理系统”，对投标人的资质、业绩、主要人员资历和目前在岗情况、信用等级等信息进行核实。若投标文件载明的信息与交通运输主管部门“公路建设市场信用信息管理系统”发布的信息不符，使得投标人的资格条件不符合招标文件规定的，评标委员会应否决其投标。</w:t>
      </w:r>
    </w:p>
    <w:p w14:paraId="5A1D8B48">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3.6.2评标委员会应对在评标过程中发现的投标人与投标人之间、投标人与招标人之间存在的串通投标的情形进行评审和认定。投标人存在串通投标、弄虚作假、行贿等违法行为的，评标委员会应否决其投标。</w:t>
      </w:r>
    </w:p>
    <w:p w14:paraId="4005D31B">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（1）有下列情形之一的，属于投标人相互串通投标：</w:t>
      </w:r>
    </w:p>
    <w:p w14:paraId="550509E0">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a.投标人之间协商投标报价等投标文件的实质性内容；</w:t>
      </w:r>
    </w:p>
    <w:p w14:paraId="7EE9522B">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b.投标人之间约定中标人；</w:t>
      </w:r>
    </w:p>
    <w:p w14:paraId="5FF5D62A">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c.投标人之间约定部分投标人放弃投标或中标；</w:t>
      </w:r>
    </w:p>
    <w:p w14:paraId="54E2C35C">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d.属于同一集团、协会、商会等组织成员的投标人按照该组织要求协同投标；</w:t>
      </w:r>
    </w:p>
    <w:p w14:paraId="4A7B8A5E">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e.投标人之间为谋取中标或者排斥特定投标人而采取的其他联合行动。</w:t>
      </w:r>
    </w:p>
    <w:p w14:paraId="19554D04">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（2）有下列情形之一的，视为投标人相互串通投标：</w:t>
      </w:r>
    </w:p>
    <w:p w14:paraId="55065098">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a.不同投标人的投标文件由同一单位或者个人编制；</w:t>
      </w:r>
    </w:p>
    <w:p w14:paraId="4B51B32B">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b.不同投标人委托同一单位或个人办理投标事宜；</w:t>
      </w:r>
    </w:p>
    <w:p w14:paraId="5D5BE905">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c.不同投标人的投标文件载明的项目管理成员为同一人；</w:t>
      </w:r>
    </w:p>
    <w:p w14:paraId="6228255A">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d.不同投标人的投标文件异常一致或者投标报价呈规律性差异；</w:t>
      </w:r>
    </w:p>
    <w:p w14:paraId="487D0D13">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e.不同投标人的投标文件相互混装；</w:t>
      </w:r>
    </w:p>
    <w:p w14:paraId="5E8C181F">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f.不同投标人的投标保证金从同一单位或个人的账户转出。</w:t>
      </w:r>
    </w:p>
    <w:p w14:paraId="2D009651">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（3）有下列情形之一的，属于招标人与投标人串通投标：</w:t>
      </w:r>
    </w:p>
    <w:p w14:paraId="635FD44A">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a.招标人在开标前开启投标文件并将有关信息泄露给其他投标人；</w:t>
      </w:r>
    </w:p>
    <w:p w14:paraId="3D6834F5">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b.招标人直接或间接向投标人泄露标底、评标委员会成员等信息；</w:t>
      </w:r>
    </w:p>
    <w:p w14:paraId="1A6EE2F2">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c.招标人明示或暗示投标人压低或抬高投标报价；</w:t>
      </w:r>
    </w:p>
    <w:p w14:paraId="19A70D32">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d.招标人授意投标人撤换、修改投标文件；</w:t>
      </w:r>
    </w:p>
    <w:p w14:paraId="0A6C9ABA">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e.招标人明示或暗示投标人为特定投标人中标提供方便；</w:t>
      </w:r>
    </w:p>
    <w:p w14:paraId="603FA2D2">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f.招标人与投标人为谋求特定投标人中标而采取的其他串通行为。</w:t>
      </w:r>
    </w:p>
    <w:p w14:paraId="26FE8C67">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（4）投标人有下列情形之一的，属于弄虚作假的行为：</w:t>
      </w:r>
    </w:p>
    <w:p w14:paraId="08879F20">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a.使用通过受让或租借等方式获取的资格、资质证书投标；</w:t>
      </w:r>
    </w:p>
    <w:p w14:paraId="4D00174F">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b.使用伪造、变造的许可证件；</w:t>
      </w:r>
    </w:p>
    <w:p w14:paraId="6EEAEB37">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c.提供虚假的业绩；</w:t>
      </w:r>
    </w:p>
    <w:p w14:paraId="5A0EBAD0">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d.提供虚假的项目负责人或主要技术人员简历、劳动关系证明；</w:t>
      </w:r>
    </w:p>
    <w:p w14:paraId="6AF89277">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ascii="宋体" w:hAnsi="宋体"/>
          <w:szCs w:val="21"/>
        </w:rPr>
      </w:pPr>
      <w:r>
        <w:rPr>
          <w:rFonts w:hint="eastAsia" w:ascii="宋体" w:hAnsi="宋体"/>
          <w:szCs w:val="21"/>
        </w:rPr>
        <w:t>e.提供虚假的信用状况；</w:t>
      </w:r>
    </w:p>
    <w:p w14:paraId="1CF03B0E">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f.其他弄虚作假的行为。</w:t>
      </w:r>
    </w:p>
    <w:p w14:paraId="26943196">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ascii="宋体" w:hAnsi="宋体" w:eastAsia="宋体"/>
          <w:b w:val="0"/>
          <w:sz w:val="21"/>
          <w:szCs w:val="21"/>
        </w:rPr>
      </w:pPr>
      <w:r>
        <w:rPr>
          <w:rFonts w:ascii="宋体" w:hAnsi="宋体" w:eastAsia="宋体"/>
          <w:b w:val="0"/>
          <w:sz w:val="21"/>
          <w:szCs w:val="21"/>
        </w:rPr>
        <w:t>3.</w:t>
      </w:r>
      <w:r>
        <w:rPr>
          <w:rFonts w:hint="eastAsia" w:ascii="宋体" w:hAnsi="宋体" w:eastAsia="宋体"/>
          <w:b w:val="0"/>
          <w:sz w:val="21"/>
          <w:szCs w:val="21"/>
        </w:rPr>
        <w:t xml:space="preserve">7 </w:t>
      </w:r>
      <w:r>
        <w:rPr>
          <w:rFonts w:ascii="宋体" w:hAnsi="宋体" w:eastAsia="宋体"/>
          <w:b w:val="0"/>
          <w:sz w:val="21"/>
          <w:szCs w:val="21"/>
        </w:rPr>
        <w:t>投标文件的澄清和</w:t>
      </w:r>
      <w:r>
        <w:rPr>
          <w:rFonts w:hint="eastAsia" w:ascii="宋体" w:hAnsi="宋体" w:eastAsia="宋体"/>
          <w:b w:val="0"/>
          <w:sz w:val="21"/>
          <w:szCs w:val="21"/>
        </w:rPr>
        <w:t>说明</w:t>
      </w:r>
    </w:p>
    <w:p w14:paraId="5BF9F266">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3.7.1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14:paraId="1E4EFC7F">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3.7.2 澄清和说明不得超出投标文件的范围或改变投标文件的实质性内容（算术性错误的修正除外）。投标人的书面澄清、说明属于投标文件的组成部分。</w:t>
      </w:r>
    </w:p>
    <w:p w14:paraId="26211141">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3.7.3 评标委员会不得暗示或诱导投标人作出澄清、说明，对投标人提交的澄清、说明有疑问的，可以要求投标人进一步澄清或说明，直至满足评标委员会的要求。</w:t>
      </w:r>
    </w:p>
    <w:p w14:paraId="4E17FBD8">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3.7.4 凡超出招标文件规定的或给委托人带来未曾要求的利益的变化、偏差或其他因素在评标时不予考虑。</w:t>
      </w:r>
    </w:p>
    <w:p w14:paraId="6E651017">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ascii="宋体" w:hAnsi="宋体" w:eastAsia="宋体"/>
          <w:b w:val="0"/>
          <w:sz w:val="21"/>
          <w:szCs w:val="21"/>
        </w:rPr>
      </w:pPr>
      <w:r>
        <w:rPr>
          <w:rFonts w:ascii="宋体" w:hAnsi="宋体" w:eastAsia="宋体"/>
          <w:b w:val="0"/>
          <w:sz w:val="21"/>
          <w:szCs w:val="21"/>
        </w:rPr>
        <w:t>3.</w:t>
      </w:r>
      <w:r>
        <w:rPr>
          <w:rFonts w:hint="eastAsia" w:ascii="宋体" w:hAnsi="宋体" w:eastAsia="宋体"/>
          <w:b w:val="0"/>
          <w:sz w:val="21"/>
          <w:szCs w:val="21"/>
        </w:rPr>
        <w:t>8 不得否决投标的情形</w:t>
      </w:r>
    </w:p>
    <w:p w14:paraId="3335E627">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投标文件存在第二章“投标人须知”第1.12.3项所列情形的，均视为细微偏差，评标委员会不得否决投标人的投标，应按照第二章“投标人须知”第1.12.4项规定的原则处理。</w:t>
      </w:r>
    </w:p>
    <w:p w14:paraId="7C283FE7">
      <w:pPr>
        <w:pStyle w:val="2"/>
        <w:pageBreakBefore w:val="0"/>
        <w:widowControl w:val="0"/>
        <w:kinsoku/>
        <w:wordWrap/>
        <w:overflowPunct/>
        <w:topLinePunct w:val="0"/>
        <w:autoSpaceDE/>
        <w:autoSpaceDN/>
        <w:bidi w:val="0"/>
        <w:adjustRightInd/>
        <w:snapToGrid w:val="0"/>
        <w:spacing w:before="0" w:after="0" w:line="360" w:lineRule="exact"/>
        <w:ind w:firstLine="420" w:firstLineChars="200"/>
        <w:textAlignment w:val="auto"/>
        <w:rPr>
          <w:rFonts w:ascii="宋体" w:hAnsi="宋体" w:eastAsia="宋体"/>
          <w:b w:val="0"/>
          <w:sz w:val="21"/>
          <w:szCs w:val="21"/>
        </w:rPr>
      </w:pPr>
      <w:r>
        <w:rPr>
          <w:rFonts w:ascii="宋体" w:hAnsi="宋体" w:eastAsia="宋体"/>
          <w:b w:val="0"/>
          <w:sz w:val="21"/>
          <w:szCs w:val="21"/>
        </w:rPr>
        <w:t>3.</w:t>
      </w:r>
      <w:r>
        <w:rPr>
          <w:rFonts w:hint="eastAsia" w:ascii="宋体" w:hAnsi="宋体" w:eastAsia="宋体"/>
          <w:b w:val="0"/>
          <w:sz w:val="21"/>
          <w:szCs w:val="21"/>
        </w:rPr>
        <w:t xml:space="preserve">9 </w:t>
      </w:r>
      <w:r>
        <w:rPr>
          <w:rFonts w:ascii="宋体" w:hAnsi="宋体" w:eastAsia="宋体"/>
          <w:b w:val="0"/>
          <w:sz w:val="21"/>
          <w:szCs w:val="21"/>
        </w:rPr>
        <w:t>评标结果</w:t>
      </w:r>
    </w:p>
    <w:p w14:paraId="6C625411">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3.9.1除第二章“投标人须知”前附表授权直接确定中标人外，评标委员会按照得分由高到低的顺序推荐中标候选人，并标明排序。</w:t>
      </w:r>
    </w:p>
    <w:p w14:paraId="63F4A099">
      <w:pPr>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szCs w:val="21"/>
        </w:rPr>
      </w:pPr>
      <w:r>
        <w:rPr>
          <w:rFonts w:hint="eastAsia" w:ascii="宋体" w:hAnsi="宋体"/>
          <w:szCs w:val="21"/>
        </w:rPr>
        <w:t>3.9.2 评标委员会完成评标后，应向招标人提交书面评标报告。</w:t>
      </w:r>
    </w:p>
    <w:p w14:paraId="5797FD5E">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lef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rPr>
        <w:t>联系方式</w:t>
      </w:r>
    </w:p>
    <w:p w14:paraId="6E702A2B">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left="0" w:firstLine="420" w:firstLineChars="200"/>
        <w:textAlignment w:val="auto"/>
        <w:rPr>
          <w:rFonts w:hint="eastAsia" w:ascii="宋体" w:hAnsi="宋体" w:eastAsia="宋体" w:cs="宋体"/>
          <w:b w:val="0"/>
          <w:bCs w:val="0"/>
          <w:color w:val="auto"/>
          <w:sz w:val="21"/>
          <w:szCs w:val="21"/>
          <w:highlight w:val="none"/>
          <w:lang w:val="zh-CN" w:eastAsia="zh-CN"/>
        </w:rPr>
      </w:pPr>
      <w:r>
        <w:rPr>
          <w:rFonts w:hint="eastAsia" w:ascii="宋体" w:hAnsi="宋体" w:eastAsia="宋体" w:cs="宋体"/>
          <w:b w:val="0"/>
          <w:bCs w:val="0"/>
          <w:color w:val="auto"/>
          <w:sz w:val="21"/>
          <w:szCs w:val="21"/>
          <w:highlight w:val="none"/>
        </w:rPr>
        <w:t>名称：</w:t>
      </w:r>
      <w:r>
        <w:rPr>
          <w:rFonts w:hint="eastAsia" w:ascii="宋体" w:hAnsi="宋体" w:eastAsia="宋体" w:cs="宋体"/>
          <w:b w:val="0"/>
          <w:bCs w:val="0"/>
          <w:sz w:val="21"/>
          <w:szCs w:val="21"/>
          <w:highlight w:val="none"/>
          <w:lang w:val="zh-CN" w:eastAsia="zh-CN"/>
        </w:rPr>
        <w:t>榆树市交通运输局公路管理段</w:t>
      </w:r>
    </w:p>
    <w:p w14:paraId="6BDC3F13">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lef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地址：</w:t>
      </w:r>
      <w:r>
        <w:rPr>
          <w:rFonts w:hint="eastAsia" w:ascii="宋体" w:hAnsi="宋体" w:eastAsia="宋体" w:cs="宋体"/>
          <w:b w:val="0"/>
          <w:bCs w:val="0"/>
          <w:sz w:val="21"/>
          <w:szCs w:val="21"/>
          <w:highlight w:val="none"/>
          <w:lang w:val="zh-CN" w:eastAsia="zh-CN"/>
        </w:rPr>
        <w:t>榆树市府前路</w:t>
      </w:r>
    </w:p>
    <w:p w14:paraId="7019BCF0">
      <w:pPr>
        <w:keepNext w:val="0"/>
        <w:keepLines w:val="0"/>
        <w:pageBreakBefore w:val="0"/>
        <w:widowControl w:val="0"/>
        <w:tabs>
          <w:tab w:val="left" w:leader="underscore" w:pos="3942"/>
          <w:tab w:val="left" w:leader="underscore" w:pos="7066"/>
        </w:tabs>
        <w:kinsoku/>
        <w:wordWrap/>
        <w:overflowPunct/>
        <w:topLinePunct w:val="0"/>
        <w:autoSpaceDE/>
        <w:autoSpaceDN/>
        <w:bidi w:val="0"/>
        <w:adjustRightInd/>
        <w:snapToGrid/>
        <w:spacing w:beforeAutospacing="0" w:afterAutospacing="0" w:line="360" w:lineRule="exact"/>
        <w:ind w:lef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联系人：</w:t>
      </w:r>
      <w:r>
        <w:rPr>
          <w:rFonts w:hint="eastAsia" w:ascii="宋体" w:hAnsi="宋体" w:eastAsia="宋体" w:cs="宋体"/>
          <w:b w:val="0"/>
          <w:bCs w:val="0"/>
          <w:sz w:val="21"/>
          <w:szCs w:val="21"/>
          <w:highlight w:val="none"/>
          <w:lang w:val="zh-CN" w:eastAsia="zh-CN"/>
        </w:rPr>
        <w:t>邵春廷</w:t>
      </w:r>
    </w:p>
    <w:p w14:paraId="30D162A0">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left="0" w:firstLine="420" w:firstLineChars="200"/>
        <w:textAlignment w:val="auto"/>
        <w:rPr>
          <w:rFonts w:hint="eastAsia" w:ascii="宋体" w:hAnsi="宋体" w:eastAsia="宋体" w:cs="宋体"/>
          <w:b w:val="0"/>
          <w:bCs w:val="0"/>
          <w:sz w:val="21"/>
          <w:szCs w:val="21"/>
          <w:highlight w:val="none"/>
          <w:lang w:val="zh-CN" w:eastAsia="zh-CN"/>
        </w:rPr>
      </w:pPr>
      <w:r>
        <w:rPr>
          <w:rFonts w:hint="eastAsia" w:ascii="宋体" w:hAnsi="宋体" w:eastAsia="宋体" w:cs="宋体"/>
          <w:b w:val="0"/>
          <w:bCs w:val="0"/>
          <w:color w:val="auto"/>
          <w:sz w:val="21"/>
          <w:szCs w:val="21"/>
          <w:highlight w:val="none"/>
        </w:rPr>
        <w:t>联系电话：</w:t>
      </w:r>
      <w:r>
        <w:rPr>
          <w:rFonts w:hint="eastAsia" w:ascii="宋体" w:hAnsi="宋体" w:eastAsia="宋体" w:cs="宋体"/>
          <w:b w:val="0"/>
          <w:bCs w:val="0"/>
          <w:sz w:val="21"/>
          <w:szCs w:val="21"/>
          <w:highlight w:val="none"/>
          <w:lang w:val="zh-CN" w:eastAsia="zh-CN"/>
        </w:rPr>
        <w:t>0431</w:t>
      </w:r>
      <w:r>
        <w:rPr>
          <w:rFonts w:hint="eastAsia" w:ascii="宋体" w:hAnsi="宋体" w:eastAsia="宋体" w:cs="宋体"/>
          <w:b w:val="0"/>
          <w:bCs w:val="0"/>
          <w:sz w:val="21"/>
          <w:szCs w:val="21"/>
          <w:highlight w:val="none"/>
          <w:lang w:val="en-US" w:eastAsia="zh-CN"/>
        </w:rPr>
        <w:t>-</w:t>
      </w:r>
      <w:r>
        <w:rPr>
          <w:rFonts w:hint="eastAsia" w:ascii="宋体" w:hAnsi="宋体" w:eastAsia="宋体" w:cs="宋体"/>
          <w:b w:val="0"/>
          <w:bCs w:val="0"/>
          <w:sz w:val="21"/>
          <w:szCs w:val="21"/>
          <w:highlight w:val="none"/>
          <w:lang w:val="zh-CN" w:eastAsia="zh-CN"/>
        </w:rPr>
        <w:t>83653288</w:t>
      </w:r>
    </w:p>
    <w:p w14:paraId="5509C2F2">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left="0"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7.公开期限</w:t>
      </w:r>
    </w:p>
    <w:p w14:paraId="7EB8A393">
      <w:pPr>
        <w:pageBreakBefore w:val="0"/>
        <w:widowControl w:val="0"/>
        <w:kinsoku/>
        <w:wordWrap/>
        <w:overflowPunct/>
        <w:topLinePunct w:val="0"/>
        <w:autoSpaceDE/>
        <w:autoSpaceDN/>
        <w:bidi w:val="0"/>
        <w:adjustRightInd/>
        <w:spacing w:line="360" w:lineRule="exact"/>
        <w:ind w:firstLine="420" w:firstLineChars="200"/>
        <w:textAlignment w:val="auto"/>
        <w:rPr>
          <w:color w:val="auto"/>
          <w:highlight w:val="none"/>
        </w:rPr>
      </w:pPr>
      <w:r>
        <w:rPr>
          <w:rFonts w:hint="eastAsia" w:ascii="宋体" w:hAnsi="宋体" w:eastAsia="宋体" w:cs="宋体"/>
          <w:b w:val="0"/>
          <w:bCs w:val="0"/>
          <w:color w:val="auto"/>
          <w:sz w:val="21"/>
          <w:szCs w:val="21"/>
          <w:highlight w:val="none"/>
        </w:rPr>
        <w:t>本次项目招标文件关键内容信息公开时间至2</w:t>
      </w:r>
      <w:r>
        <w:rPr>
          <w:rFonts w:hint="eastAsia" w:ascii="宋体" w:hAnsi="宋体" w:eastAsia="宋体" w:cs="宋体"/>
          <w:b w:val="0"/>
          <w:bCs w:val="0"/>
          <w:color w:val="auto"/>
          <w:sz w:val="21"/>
          <w:szCs w:val="21"/>
          <w:highlight w:val="none"/>
          <w:lang w:val="en-US" w:eastAsia="zh-CN"/>
        </w:rPr>
        <w:t>026</w:t>
      </w:r>
      <w:r>
        <w:rPr>
          <w:rFonts w:hint="eastAsia" w:ascii="宋体" w:hAnsi="宋体" w:eastAsia="宋体" w:cs="宋体"/>
          <w:b w:val="0"/>
          <w:bCs w:val="0"/>
          <w:color w:val="auto"/>
          <w:sz w:val="21"/>
          <w:szCs w:val="21"/>
          <w:highlight w:val="none"/>
        </w:rPr>
        <w:t>年</w:t>
      </w: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月</w:t>
      </w: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日</w:t>
      </w:r>
      <w:r>
        <w:rPr>
          <w:rFonts w:hint="eastAsia" w:ascii="宋体" w:hAnsi="宋体" w:eastAsia="宋体" w:cs="宋体"/>
          <w:b w:val="0"/>
          <w:bCs w:val="0"/>
          <w:color w:val="auto"/>
          <w:sz w:val="21"/>
          <w:szCs w:val="21"/>
          <w:highlight w:val="none"/>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modern"/>
    <w:pitch w:val="default"/>
    <w:sig w:usb0="800002BF" w:usb1="38CF7CFA" w:usb2="00000016" w:usb3="00000000" w:csb0="00040001" w:csb1="00000000"/>
  </w:font>
  <w:font w:name="KSOF6B657194">
    <w:panose1 w:val="02020500000000000000"/>
    <w:charset w:val="88"/>
    <w:family w:val="auto"/>
    <w:pitch w:val="default"/>
    <w:sig w:usb0="00000001" w:usb1="00000000" w:usb2="00000000" w:usb3="00000000" w:csb0="001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14:paraId="39007246">
      <w:pPr>
        <w:spacing w:line="240" w:lineRule="auto"/>
        <w:rPr>
          <w:rFonts w:hint="eastAsia" w:ascii="宋体" w:hAnsi="宋体" w:eastAsia="宋体" w:cs="宋体"/>
          <w:b w:val="0"/>
          <w:bCs w:val="0"/>
          <w:sz w:val="18"/>
          <w:szCs w:val="18"/>
        </w:rPr>
      </w:pPr>
      <w:r>
        <w:rPr>
          <w:rStyle w:val="9"/>
          <w:rFonts w:hint="eastAsia" w:ascii="宋体" w:hAnsi="宋体" w:eastAsia="宋体" w:cs="宋体"/>
          <w:b w:val="0"/>
          <w:bCs w:val="0"/>
          <w:sz w:val="18"/>
          <w:szCs w:val="18"/>
        </w:rPr>
        <w:footnoteRef/>
      </w:r>
      <w:r>
        <w:rPr>
          <w:rFonts w:hint="eastAsia" w:ascii="宋体" w:hAnsi="宋体" w:eastAsia="宋体" w:cs="宋体"/>
          <w:b w:val="0"/>
          <w:bCs w:val="0"/>
          <w:kern w:val="0"/>
          <w:sz w:val="18"/>
          <w:szCs w:val="18"/>
          <w:lang w:val="zh-CN"/>
        </w:rPr>
        <w:t xml:space="preserve"> 本表所列人员不得互相兼职。且在本项目正式开工时须为本项目专职即应保证未在在建工程任职，否则招标人将不接受其投标或取消其中标资格。由此造成的损失和后果由投标人负责。</w:t>
      </w:r>
    </w:p>
  </w:footnote>
  <w:footnote w:id="1">
    <w:p w14:paraId="480DF1C3">
      <w:pPr>
        <w:pStyle w:val="5"/>
        <w:spacing w:line="240" w:lineRule="auto"/>
        <w:rPr>
          <w:rFonts w:hint="eastAsia" w:ascii="宋体" w:hAnsi="宋体" w:eastAsia="宋体" w:cs="宋体"/>
          <w:b w:val="0"/>
          <w:bCs w:val="0"/>
          <w:sz w:val="18"/>
          <w:szCs w:val="18"/>
        </w:rPr>
      </w:pPr>
      <w:r>
        <w:rPr>
          <w:rStyle w:val="9"/>
          <w:rFonts w:hint="eastAsia" w:ascii="宋体" w:hAnsi="宋体" w:eastAsia="宋体" w:cs="宋体"/>
          <w:b w:val="0"/>
          <w:bCs w:val="0"/>
          <w:sz w:val="18"/>
          <w:szCs w:val="18"/>
        </w:rPr>
        <w:footnoteRef/>
      </w:r>
      <w:r>
        <w:rPr>
          <w:rFonts w:hint="eastAsia" w:ascii="宋体" w:hAnsi="宋体" w:eastAsia="宋体" w:cs="宋体"/>
          <w:b w:val="0"/>
          <w:bCs w:val="0"/>
          <w:sz w:val="18"/>
          <w:szCs w:val="18"/>
        </w:rPr>
        <w:t xml:space="preserve"> “</w:t>
      </w:r>
      <w:r>
        <w:rPr>
          <w:rFonts w:hint="eastAsia" w:ascii="宋体" w:hAnsi="宋体" w:eastAsia="宋体" w:cs="宋体"/>
          <w:b w:val="0"/>
          <w:bCs w:val="0"/>
          <w:spacing w:val="-6"/>
          <w:sz w:val="18"/>
          <w:szCs w:val="18"/>
        </w:rPr>
        <w:t>投标人自有人员”</w:t>
      </w:r>
      <w:r>
        <w:rPr>
          <w:rFonts w:hint="eastAsia" w:ascii="宋体" w:hAnsi="宋体" w:eastAsia="宋体" w:cs="宋体"/>
          <w:b w:val="0"/>
          <w:bCs w:val="0"/>
          <w:spacing w:val="-6"/>
          <w:sz w:val="18"/>
          <w:szCs w:val="18"/>
          <w:lang w:val="zh-CN"/>
        </w:rPr>
        <w:t>指投标人为其申报社会保险登记，并为其缴纳社会保险费的人员。</w:t>
      </w:r>
      <w:r>
        <w:rPr>
          <w:rFonts w:hint="eastAsia" w:ascii="宋体" w:hAnsi="宋体" w:eastAsia="宋体" w:cs="宋体"/>
          <w:b w:val="0"/>
          <w:bCs w:val="0"/>
          <w:spacing w:val="-6"/>
          <w:sz w:val="18"/>
          <w:szCs w:val="18"/>
        </w:rPr>
        <w:t>如果投标人属事业法人单位，则由投标人的上级行政主管部门出具拟委任的项目负责人是投标人单位职工的有效书面证明材料。已退休人员，应附投标人与其签订的劳动合同。</w:t>
      </w:r>
    </w:p>
  </w:footnote>
  <w:footnote w:id="2">
    <w:p w14:paraId="2BAD58BA">
      <w:pPr>
        <w:pStyle w:val="5"/>
        <w:spacing w:line="240" w:lineRule="auto"/>
        <w:rPr>
          <w:rFonts w:hint="eastAsia" w:ascii="宋体" w:hAnsi="宋体" w:eastAsia="宋体" w:cs="宋体"/>
          <w:b w:val="0"/>
          <w:bCs w:val="0"/>
          <w:sz w:val="18"/>
          <w:szCs w:val="18"/>
        </w:rPr>
      </w:pPr>
      <w:r>
        <w:rPr>
          <w:rStyle w:val="9"/>
          <w:rFonts w:hint="eastAsia" w:ascii="宋体" w:hAnsi="宋体" w:eastAsia="宋体" w:cs="宋体"/>
          <w:b w:val="0"/>
          <w:bCs w:val="0"/>
          <w:sz w:val="18"/>
          <w:szCs w:val="18"/>
        </w:rPr>
        <w:footnoteRef/>
      </w:r>
      <w:r>
        <w:rPr>
          <w:rFonts w:hint="eastAsia" w:ascii="宋体" w:hAnsi="宋体" w:eastAsia="宋体" w:cs="宋体"/>
          <w:b w:val="0"/>
          <w:bCs w:val="0"/>
          <w:spacing w:val="-6"/>
          <w:sz w:val="18"/>
          <w:szCs w:val="18"/>
        </w:rPr>
        <w:t>公路工程相关专业职称包括公路工程、桥梁工程、公路与桥梁工程、交通土建、隧道（地下结构）工程、交通工程等专业职称。如职称证上无专业，则以毕业证上的专业为准。</w:t>
      </w:r>
    </w:p>
  </w:footnote>
  <w:footnote w:id="3">
    <w:p w14:paraId="600F7C84">
      <w:pPr>
        <w:pStyle w:val="5"/>
        <w:rPr>
          <w:rFonts w:ascii="楷体" w:hAnsi="楷体" w:eastAsia="楷体"/>
        </w:rPr>
      </w:pPr>
      <w:r>
        <w:rPr>
          <w:rStyle w:val="9"/>
          <w:rFonts w:hint="eastAsia" w:ascii="宋体" w:hAnsi="宋体" w:eastAsia="宋体" w:cs="宋体"/>
        </w:rPr>
        <w:footnoteRef/>
      </w:r>
      <w:r>
        <w:rPr>
          <w:rFonts w:hint="eastAsia" w:ascii="宋体" w:hAnsi="宋体" w:eastAsia="宋体" w:cs="宋体"/>
        </w:rPr>
        <w:t>按照“三证合一”或“五证合一”登记制度进行登记的，可不具备组织机构代码证</w:t>
      </w:r>
      <w:r>
        <w:rPr>
          <w:rFonts w:hint="eastAsia" w:ascii="楷体" w:hAnsi="楷体" w:eastAsia="楷体"/>
        </w:rPr>
        <w:t>。</w:t>
      </w:r>
    </w:p>
  </w:footnote>
  <w:footnote w:id="4">
    <w:p w14:paraId="38BD2AF8">
      <w:pPr>
        <w:pStyle w:val="5"/>
        <w:jc w:val="both"/>
        <w:rPr>
          <w:rFonts w:hint="eastAsia" w:ascii="宋体" w:hAnsi="宋体" w:eastAsia="宋体" w:cs="宋体"/>
        </w:rPr>
      </w:pPr>
      <w:r>
        <w:rPr>
          <w:rStyle w:val="9"/>
          <w:rFonts w:hint="eastAsia" w:ascii="宋体" w:hAnsi="宋体" w:eastAsia="宋体" w:cs="宋体"/>
        </w:rPr>
        <w:footnoteRef/>
      </w:r>
      <w:r>
        <w:rPr>
          <w:rFonts w:hint="eastAsia" w:ascii="宋体" w:hAnsi="宋体" w:eastAsia="宋体" w:cs="宋体"/>
        </w:rPr>
        <w:t>各评分因素（评标价和履约信誉评分项除外）得分一般不得低于其权重分值的60%，且各评分因素得分应以评标委员会各成员的打分平均值确定，评标委员会成员总数为7人以上时，该平均值以去掉一个最高分和一个最低分后计算。评标委员会成员对某一项评分因素的评分低于权重分值60%的，应在评标报告中作出说明。</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946A36"/>
    <w:multiLevelType w:val="multilevel"/>
    <w:tmpl w:val="1D946A36"/>
    <w:lvl w:ilvl="0" w:tentative="0">
      <w:start w:val="1"/>
      <w:numFmt w:val="decimal"/>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10"/>
    <w:footnote w:id="1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4C321E"/>
    <w:rsid w:val="01DC686D"/>
    <w:rsid w:val="1FDF081D"/>
    <w:rsid w:val="2B040D04"/>
    <w:rsid w:val="31E47575"/>
    <w:rsid w:val="4C9B5CB0"/>
    <w:rsid w:val="794C3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rPr>
      <w:rFonts w:ascii="宋体"/>
      <w:sz w:val="24"/>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qFormat/>
    <w:uiPriority w:val="0"/>
  </w:style>
  <w:style w:type="character" w:styleId="9">
    <w:name w:val="footnote reference"/>
    <w:qFormat/>
    <w:uiPriority w:val="0"/>
    <w:rPr>
      <w:vertAlign w:val="superscript"/>
    </w:rPr>
  </w:style>
  <w:style w:type="paragraph" w:customStyle="1" w:styleId="10">
    <w:name w:val="正文文本 (2)"/>
    <w:basedOn w:val="1"/>
    <w:qFormat/>
    <w:uiPriority w:val="0"/>
    <w:pPr>
      <w:shd w:val="clear" w:color="auto" w:fill="FFFFFF"/>
      <w:spacing w:before="300" w:line="439" w:lineRule="exact"/>
      <w:jc w:val="distribute"/>
    </w:pPr>
    <w:rPr>
      <w:rFonts w:ascii="宋体" w:hAnsi="宋体"/>
      <w:kern w:val="0"/>
      <w:sz w:val="22"/>
    </w:rPr>
  </w:style>
  <w:style w:type="character" w:customStyle="1" w:styleId="11">
    <w:name w:val="正文文本 (2) + 9.5 pt"/>
    <w:qFormat/>
    <w:uiPriority w:val="0"/>
    <w:rPr>
      <w:rFonts w:ascii="MingLiU" w:hAnsi="MingLiU" w:eastAsia="MingLiU" w:cs="MingLiU"/>
      <w:color w:val="000000"/>
      <w:spacing w:val="0"/>
      <w:w w:val="100"/>
      <w:position w:val="0"/>
      <w:sz w:val="19"/>
      <w:szCs w:val="19"/>
      <w:shd w:val="clear" w:color="auto" w:fill="FFFFFF"/>
      <w:lang w:val="zh-TW" w:eastAsia="zh-TW" w:bidi="zh-TW"/>
    </w:rPr>
  </w:style>
  <w:style w:type="paragraph" w:customStyle="1" w:styleId="1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80a69475-dd0f-4081-8528-6712da1c2259</errorID>
      <errorWord>(</errorWord>
      <group>L1_Format</group>
      <groupName>格式问题</groupName>
      <ability>L2_HalfPunc_CN</ability>
      <abilityName>全半角问题</abilityName>
      <candidateList>
        <item>（</item>
      </candidateList>
      <explain>文本全半角错误。</explain>
      <paraID>5A9A4399</paraID>
      <start>31</start>
      <end>32</end>
      <status>modified</status>
      <modifiedWord>（</modifiedWord>
      <trackRevisions>false</trackRevisions>
    </reviewItem>
    <reviewItem>
      <errorID>0f7fdc9b-ff57-4327-a89f-8fa469597044</errorID>
      <errorWord>)</errorWord>
      <group>L1_Format</group>
      <groupName>格式问题</groupName>
      <ability>L2_HalfPunc_CN</ability>
      <abilityName>全半角问题</abilityName>
      <candidateList>
        <item>）</item>
      </candidateList>
      <explain>文本全半角错误。</explain>
      <paraID>5A9A4399</paraID>
      <start>33</start>
      <end>34</end>
      <status>modified</status>
      <modifiedWord>）</modifiedWord>
      <trackRevisions>false</trackRevisions>
    </reviewItem>
    <reviewItem>
      <errorID>68818892-659e-4125-98c0-6fdd8d5ef471</errorID>
      <errorWord>[2009]</errorWord>
      <group>L1_Punc</group>
      <groupName>标点问题</groupName>
      <ability>L2_Punc_CN</ability>
      <abilityName>标点符号问题</abilityName>
      <candidateList>
        <item>〔2009〕</item>
      </candidateList>
      <explain/>
      <paraID>5A9A4399</paraID>
      <start>55</start>
      <end>61</end>
      <status>unmodified</status>
      <modifiedWord/>
      <trackRevisions>false</trackRevisions>
    </reviewItem>
    <reviewItem>
      <errorID>5d50deab-417f-407f-b589-2c7f3722e89e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5BC9999C</paraID>
      <start>0</start>
      <end>2</end>
      <status>modified</status>
      <modifiedWord>3.</modifiedWord>
      <trackRevisions>false</trackRevisions>
    </reviewItem>
    <reviewItem>
      <errorID>a978ba0d-11e4-4043-ac06-01095c9ae2d5</errorID>
      <errorWord>的的</errorWord>
      <group>L1_Word</group>
      <groupName>字词问题</groupName>
      <ability>L2_Typo</ability>
      <abilityName>字词错误</abilityName>
      <candidateList>
        <item>的</item>
      </candidateList>
      <explain/>
      <paraID>55618D0C</paraID>
      <start>24</start>
      <end>25</end>
      <status>modified</status>
      <modifiedWord>的</modifiedWord>
      <trackRevisions>false</trackRevisions>
    </reviewItem>
    <reviewItem>
      <errorID>d8181212-519a-491b-be28-6a8c72f920c6</errorID>
      <errorWord>的的</errorWord>
      <group>L1_Word</group>
      <groupName>字词问题</groupName>
      <ability>L2_Typo</ability>
      <abilityName>字词错误</abilityName>
      <candidateList>
        <item>的</item>
      </candidateList>
      <explain/>
      <paraID>513FDE4E</paraID>
      <start>12</start>
      <end>13</end>
      <status>modified</status>
      <modifiedWord>的</modifiedWord>
      <trackRevisions>false</trackRevisions>
    </reviewItem>
    <reviewItem>
      <errorID>ce203ace-50be-49d4-819d-adcffc148023</errorID>
      <errorWord>)</errorWord>
      <group>L1_Format</group>
      <groupName>格式问题</groupName>
      <ability>L2_HalfPunc_CN</ability>
      <abilityName>全半角问题</abilityName>
      <candidateList>
        <item>）</item>
      </candidateList>
      <explain>文本全半角错误。</explain>
      <paraID>1F90ED4C</paraID>
      <start>48</start>
      <end>49</end>
      <status>modified</status>
      <modifiedWord>）</modifiedWord>
      <trackRevisions>false</trackRevisions>
    </reviewItem>
    <reviewItem>
      <errorID>8f0a51fe-2c31-49e0-9237-1c086f40a877</errorID>
      <errorWord>（</errorWord>
      <group>L1_Format</group>
      <groupName>格式问题</groupName>
      <ability>L2_HalfPunc_CN</ability>
      <abilityName>全半角问题</abilityName>
      <candidateList>
        <item>(</item>
      </candidateList>
      <explain>文本全半角错误。</explain>
      <paraID> A85C4D4</paraID>
      <start>5</start>
      <end>6</end>
      <status>modified</status>
      <modifiedWord>(</modifiedWord>
      <trackRevisions>false</trackRevisions>
    </reviewItem>
    <reviewItem>
      <errorID>cd38d1f5-a180-4091-96e4-5ea39b65e5af</errorID>
      <errorWord>）</errorWord>
      <group>L1_Format</group>
      <groupName>格式问题</groupName>
      <ability>L2_HalfPunc_CN</ability>
      <abilityName>全半角问题</abilityName>
      <candidateList>
        <item>)</item>
      </candidateList>
      <explain>文本全半角错误。</explain>
      <paraID> A85C4D4</paraID>
      <start>7</start>
      <end>8</end>
      <status>modified</status>
      <modifiedWord>)</modifiedWord>
      <trackRevisions>false</trackRevisions>
    </reviewItem>
    <reviewItem>
      <errorID>79897ddc-2c6e-4ecd-94aa-9a25195ab761</errorID>
      <errorWord>（</errorWord>
      <group>L1_Format</group>
      <groupName>格式问题</groupName>
      <ability>L2_HalfPunc_CN</ability>
      <abilityName>全半角问题</abilityName>
      <candidateList>
        <item>(</item>
      </candidateList>
      <explain>文本全半角错误。</explain>
      <paraID>37B7F140</paraID>
      <start>5</start>
      <end>6</end>
      <status>modified</status>
      <modifiedWord>(</modifiedWord>
      <trackRevisions>false</trackRevisions>
    </reviewItem>
    <reviewItem>
      <errorID>bce03ccb-99c5-4212-a0c7-e3e4ef0b8b65</errorID>
      <errorWord>）</errorWord>
      <group>L1_Format</group>
      <groupName>格式问题</groupName>
      <ability>L2_HalfPunc_CN</ability>
      <abilityName>全半角问题</abilityName>
      <candidateList>
        <item>)</item>
      </candidateList>
      <explain>文本全半角错误。</explain>
      <paraID>37B7F140</paraID>
      <start>7</start>
      <end>8</end>
      <status>modified</status>
      <modifiedWord>)</modifiedWord>
      <trackRevisions>false</trackRevisions>
    </reviewItem>
    <reviewItem>
      <errorID>357fc215-d968-48f9-b91c-9c3a52b6f293</errorID>
      <errorWord>（</errorWord>
      <group>L1_Format</group>
      <groupName>格式问题</groupName>
      <ability>L2_HalfPunc_CN</ability>
      <abilityName>全半角问题</abilityName>
      <candidateList>
        <item>(</item>
      </candidateList>
      <explain>文本全半角错误。</explain>
      <paraID>38EACCA5</paraID>
      <start>5</start>
      <end>6</end>
      <status>modified</status>
      <modifiedWord>(</modifiedWord>
      <trackRevisions>false</trackRevisions>
    </reviewItem>
    <reviewItem>
      <errorID>9b194d76-03e3-4c90-aa78-7431688903d4</errorID>
      <errorWord>）</errorWord>
      <group>L1_Format</group>
      <groupName>格式问题</groupName>
      <ability>L2_HalfPunc_CN</ability>
      <abilityName>全半角问题</abilityName>
      <candidateList>
        <item>)</item>
      </candidateList>
      <explain>文本全半角错误。</explain>
      <paraID>38EACCA5</paraID>
      <start>7</start>
      <end>8</end>
      <status>modified</status>
      <modifiedWord>)</modifiedWord>
      <trackRevisions>false</trackRevisions>
    </reviewItem>
    <reviewItem>
      <errorID>eaa60837-d2bd-4292-b36c-4ae4f02db84b</errorID>
      <errorWord>（</errorWord>
      <group>L1_Format</group>
      <groupName>格式问题</groupName>
      <ability>L2_HalfPunc_CN</ability>
      <abilityName>全半角问题</abilityName>
      <candidateList>
        <item>(</item>
      </candidateList>
      <explain>文本全半角错误。</explain>
      <paraID>2FAEFEA0</paraID>
      <start>5</start>
      <end>6</end>
      <status>modified</status>
      <modifiedWord>(</modifiedWord>
      <trackRevisions>false</trackRevisions>
    </reviewItem>
    <reviewItem>
      <errorID>fe025cc5-35ff-4026-b86c-d56012e5cff7</errorID>
      <errorWord>）</errorWord>
      <group>L1_Format</group>
      <groupName>格式问题</groupName>
      <ability>L2_HalfPunc_CN</ability>
      <abilityName>全半角问题</abilityName>
      <candidateList>
        <item>)</item>
      </candidateList>
      <explain>文本全半角错误。</explain>
      <paraID>2FAEFEA0</paraID>
      <start>7</start>
      <end>8</end>
      <status>modified</status>
      <modifiedWord>)</modifiedWord>
      <trackRevisions>false</trackRevisions>
    </reviewItem>
    <reviewItem>
      <errorID>b9465009-78f3-4b45-98b8-d57c66641d0d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289C75CA</paraID>
      <start>0</start>
      <end>2</end>
      <status>unmodified</status>
      <modifiedWord/>
      <trackRevisions>false</trackRevisions>
    </reviewItem>
    <reviewItem>
      <errorID>50da3495-cc1c-449d-a03a-d90aad1b52d4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3F4C0BDC</paraID>
      <start>0</start>
      <end>2</end>
      <status>unmodified</status>
      <modifiedWord/>
      <trackRevisions>false</trackRevisions>
    </reviewItem>
    <reviewItem>
      <errorID>06095915-64f4-4f66-8d88-a8cbbcc3d611</errorID>
      <errorWord>(</errorWord>
      <group>L1_Format</group>
      <groupName>格式问题</groupName>
      <ability>L2_HalfPunc_CN</ability>
      <abilityName>全半角问题</abilityName>
      <candidateList>
        <item>（</item>
      </candidateList>
      <explain>文本全半角错误。</explain>
      <paraID>4982D149</paraID>
      <start>0</start>
      <end>1</end>
      <status>modified</status>
      <modifiedWord>（</modifiedWord>
      <trackRevisions>false</trackRevisions>
    </reviewItem>
    <reviewItem>
      <errorID>3e7df8b1-805e-4f29-be46-dd3abaee70cf</errorID>
      <errorWord>(</errorWord>
      <group>L1_Format</group>
      <groupName>格式问题</groupName>
      <ability>L2_HalfPunc_CN</ability>
      <abilityName>全半角问题</abilityName>
      <candidateList>
        <item>（</item>
      </candidateList>
      <explain>文本全半角错误。</explain>
      <paraID> B3F55F2</paraID>
      <start>0</start>
      <end>1</end>
      <status>modified</status>
      <modifiedWord>（</modifiedWord>
      <trackRevisions>false</trackRevisions>
    </reviewItem>
    <reviewItem>
      <errorID>eb629db1-01d9-4f7e-8bc3-f486a79db144</errorID>
      <errorWord>(</errorWord>
      <group>L1_Format</group>
      <groupName>格式问题</groupName>
      <ability>L2_HalfPunc_CN</ability>
      <abilityName>全半角问题</abilityName>
      <candidateList>
        <item>（</item>
      </candidateList>
      <explain>文本全半角错误。</explain>
      <paraID>5A7ACF60</paraID>
      <start>0</start>
      <end>1</end>
      <status>modified</status>
      <modifiedWord>（</modifiedWord>
      <trackRevisions>false</trackRevisions>
    </reviewItem>
    <reviewItem>
      <errorID>e9beb32b-4d99-4dd9-8e79-8ef982108406</errorID>
      <errorWord>(</errorWord>
      <group>L1_Format</group>
      <groupName>格式问题</groupName>
      <ability>L2_HalfPunc_CN</ability>
      <abilityName>全半角问题</abilityName>
      <candidateList>
        <item>（</item>
      </candidateList>
      <explain>文本全半角错误。</explain>
      <paraID>257FD7F3</paraID>
      <start>0</start>
      <end>1</end>
      <status>modified</status>
      <modifiedWord>（</modifiedWord>
      <trackRevisions>false</trackRevisions>
    </reviewItem>
    <reviewItem>
      <errorID>12cfba8f-f65d-410b-b547-97da88b5fa7a</errorID>
      <errorWord>(</errorWord>
      <group>L1_Format</group>
      <groupName>格式问题</groupName>
      <ability>L2_HalfPunc_CN</ability>
      <abilityName>全半角问题</abilityName>
      <candidateList>
        <item>（</item>
      </candidateList>
      <explain>文本全半角错误。</explain>
      <paraID> 6AD4D69</paraID>
      <start>0</start>
      <end>1</end>
      <status>modified</status>
      <modifiedWord>（</modifiedWord>
      <trackRevisions>false</trackRevisions>
    </reviewItem>
    <reviewItem>
      <errorID>46e9367a-13b1-4db1-a676-e0cf5d8fb097</errorID>
      <errorWord>(</errorWord>
      <group>L1_Format</group>
      <groupName>格式问题</groupName>
      <ability>L2_HalfPunc_CN</ability>
      <abilityName>全半角问题</abilityName>
      <candidateList>
        <item>（</item>
      </candidateList>
      <explain>文本全半角错误。</explain>
      <paraID> EA0C452</paraID>
      <start>0</start>
      <end>1</end>
      <status>modified</status>
      <modifiedWord>（</modifiedWord>
      <trackRevisions>false</trackRevisions>
    </reviewItem>
    <reviewItem>
      <errorID>19467703-b3b9-4cce-8c42-8902163fb923</errorID>
      <errorWord>(</errorWord>
      <group>L1_Format</group>
      <groupName>格式问题</groupName>
      <ability>L2_HalfPunc_CN</ability>
      <abilityName>全半角问题</abilityName>
      <candidateList>
        <item>（</item>
      </candidateList>
      <explain>文本全半角错误。</explain>
      <paraID>59250CF9</paraID>
      <start>0</start>
      <end>1</end>
      <status>modified</status>
      <modifiedWord>（</modifiedWord>
      <trackRevisions>false</trackRevisions>
    </reviewItem>
    <reviewItem>
      <errorID>9fba3abc-021a-4b60-b4b8-dc482e2b113e</errorID>
      <errorWord>(</errorWord>
      <group>L1_Format</group>
      <groupName>格式问题</groupName>
      <ability>L2_HalfPunc_CN</ability>
      <abilityName>全半角问题</abilityName>
      <candidateList>
        <item>（</item>
      </candidateList>
      <explain>文本全半角错误。</explain>
      <paraID>253601E4</paraID>
      <start>0</start>
      <end>1</end>
      <status>modified</status>
      <modifiedWord>（</modifiedWord>
      <trackRevisions>false</trackRevisions>
    </reviewItem>
  </reviewItems>
  <config/>
</contractReview>
</file>

<file path=customXml/itemProps1.xml><?xml version="1.0" encoding="utf-8"?>
<ds:datastoreItem xmlns:ds="http://schemas.openxmlformats.org/officeDocument/2006/customXml" ds:itemID="{4d1814cd-7e97-4d2d-9ed8-285cc8859f1c}">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6976</Words>
  <Characters>7418</Characters>
  <Lines>0</Lines>
  <Paragraphs>0</Paragraphs>
  <TotalTime>0</TotalTime>
  <ScaleCrop>false</ScaleCrop>
  <LinksUpToDate>false</LinksUpToDate>
  <CharactersWithSpaces>7494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2026-09-04T01:40:00Z</dcterms:created>
  <dc:creator>18482</dc:creator>
  <cp:lastModifiedBy>18482</cp:lastModifiedBy>
  <dcterms:modified xsi:type="dcterms:W3CDTF">2026-09-29T02:10:33Z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7A43E1CD8BF545C787B459A2D4157630_11</vt:lpwstr>
  </property>
  <property fmtid="{D5CDD505-2E9C-101B-9397-08002B2CF9AE}" pid="4" name="KSOTemplateDocerSaveRecord">
    <vt:lpwstr>eyJoZGlkIjoiZDQ1YTEzZWJiYzlkNDM5YjczYzg2MjQ4NTM1NDFmZjYiLCJ1c2VySWQiOiIyNTY1MDI0ODIifQ==</vt:lpwstr>
  </property>
</Properties>
</file>