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 xml:space="preserve">附件 </w:t>
      </w:r>
      <w:r>
        <w:rPr>
          <w:rFonts w:ascii="Times New Roman" w:hAnsi="Times New Roman" w:eastAsia="仿宋" w:cs="Times New Roman"/>
          <w:snapToGrid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>：</w:t>
      </w:r>
    </w:p>
    <w:p>
      <w:pPr>
        <w:pStyle w:val="2"/>
        <w:spacing w:line="251" w:lineRule="auto"/>
        <w:rPr>
          <w:lang w:eastAsia="zh-CN"/>
        </w:rPr>
      </w:pPr>
    </w:p>
    <w:p>
      <w:pPr>
        <w:pStyle w:val="2"/>
        <w:spacing w:line="251" w:lineRule="auto"/>
        <w:rPr>
          <w:lang w:eastAsia="zh-CN"/>
        </w:rPr>
      </w:pPr>
    </w:p>
    <w:p>
      <w:pPr>
        <w:pStyle w:val="2"/>
        <w:spacing w:line="252" w:lineRule="auto"/>
        <w:rPr>
          <w:lang w:eastAsia="zh-CN"/>
        </w:rPr>
      </w:pPr>
    </w:p>
    <w:p>
      <w:pPr>
        <w:pStyle w:val="2"/>
        <w:spacing w:line="252" w:lineRule="auto"/>
        <w:rPr>
          <w:lang w:eastAsia="zh-CN"/>
        </w:rPr>
      </w:pPr>
    </w:p>
    <w:p>
      <w:pPr>
        <w:widowControl w:val="0"/>
        <w:kinsoku/>
        <w:autoSpaceDE/>
        <w:autoSpaceDN/>
        <w:adjustRightInd/>
        <w:snapToGrid/>
        <w:ind w:firstLine="3080" w:firstLineChars="700"/>
        <w:textAlignment w:val="auto"/>
        <w:rPr>
          <w:rFonts w:hint="eastAsia" w:ascii="黑体" w:hAnsi="黑体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ascii="黑体" w:hAnsi="黑体" w:eastAsia="黑体" w:cs="Times New Roman"/>
          <w:snapToGrid/>
          <w:kern w:val="2"/>
          <w:sz w:val="44"/>
          <w:szCs w:val="44"/>
          <w:lang w:eastAsia="zh-CN"/>
        </w:rPr>
        <w:t>2023年度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Times New Roman"/>
          <w:snapToGrid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榆树市青少年校外教育活动中心</w:t>
      </w:r>
      <w:r>
        <w:rPr>
          <w:rFonts w:ascii="黑体" w:hAnsi="黑体" w:eastAsia="黑体" w:cs="Times New Roman"/>
          <w:snapToGrid/>
          <w:kern w:val="2"/>
          <w:sz w:val="44"/>
          <w:szCs w:val="44"/>
          <w:lang w:eastAsia="zh-CN"/>
        </w:rPr>
        <w:t>部门决算</w:t>
      </w:r>
    </w:p>
    <w:p>
      <w:pPr>
        <w:pStyle w:val="2"/>
        <w:spacing w:line="242" w:lineRule="auto"/>
        <w:rPr>
          <w:lang w:eastAsia="zh-CN"/>
        </w:rPr>
      </w:pPr>
    </w:p>
    <w:p>
      <w:pPr>
        <w:pStyle w:val="2"/>
        <w:spacing w:line="242" w:lineRule="auto"/>
        <w:rPr>
          <w:lang w:eastAsia="zh-CN"/>
        </w:rPr>
      </w:pPr>
    </w:p>
    <w:p>
      <w:pPr>
        <w:pStyle w:val="2"/>
        <w:spacing w:line="242" w:lineRule="auto"/>
        <w:rPr>
          <w:lang w:eastAsia="zh-CN"/>
        </w:rPr>
      </w:pPr>
    </w:p>
    <w:p>
      <w:pPr>
        <w:pStyle w:val="2"/>
        <w:spacing w:line="242" w:lineRule="auto"/>
        <w:rPr>
          <w:lang w:eastAsia="zh-CN"/>
        </w:rPr>
      </w:pPr>
    </w:p>
    <w:p>
      <w:pPr>
        <w:pStyle w:val="2"/>
        <w:spacing w:line="242" w:lineRule="auto"/>
        <w:rPr>
          <w:lang w:eastAsia="zh-CN"/>
        </w:rPr>
      </w:pPr>
    </w:p>
    <w:p>
      <w:pPr>
        <w:pStyle w:val="2"/>
        <w:spacing w:line="242" w:lineRule="auto"/>
        <w:rPr>
          <w:lang w:eastAsia="zh-CN"/>
        </w:rPr>
      </w:pPr>
    </w:p>
    <w:p>
      <w:pPr>
        <w:pStyle w:val="2"/>
        <w:spacing w:line="242" w:lineRule="auto"/>
        <w:rPr>
          <w:lang w:eastAsia="zh-CN"/>
        </w:rPr>
      </w:pPr>
    </w:p>
    <w:p>
      <w:pPr>
        <w:pStyle w:val="2"/>
        <w:spacing w:line="242" w:lineRule="auto"/>
        <w:rPr>
          <w:lang w:eastAsia="zh-CN"/>
        </w:rPr>
      </w:pPr>
    </w:p>
    <w:p>
      <w:pPr>
        <w:pStyle w:val="2"/>
        <w:spacing w:line="242" w:lineRule="auto"/>
        <w:rPr>
          <w:lang w:eastAsia="zh-CN"/>
        </w:rPr>
      </w:pPr>
    </w:p>
    <w:p>
      <w:pPr>
        <w:pStyle w:val="2"/>
        <w:spacing w:line="242" w:lineRule="auto"/>
        <w:rPr>
          <w:lang w:eastAsia="zh-CN"/>
        </w:rPr>
      </w:pPr>
    </w:p>
    <w:p>
      <w:pPr>
        <w:pStyle w:val="2"/>
        <w:spacing w:line="242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pStyle w:val="2"/>
        <w:spacing w:line="243" w:lineRule="auto"/>
        <w:rPr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仿宋" w:hAnsi="仿宋" w:eastAsia="仿宋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 xml:space="preserve">2024 </w:t>
      </w:r>
      <w:r>
        <w:rPr>
          <w:rFonts w:ascii="仿宋" w:hAnsi="仿宋" w:eastAsia="仿宋"/>
          <w:snapToGrid/>
          <w:kern w:val="2"/>
          <w:sz w:val="32"/>
          <w:szCs w:val="32"/>
          <w:lang w:eastAsia="zh-CN"/>
        </w:rPr>
        <w:t xml:space="preserve">年 </w:t>
      </w:r>
      <w:r>
        <w:rPr>
          <w:rFonts w:hint="eastAsia" w:ascii="仿宋" w:hAnsi="仿宋" w:eastAsia="仿宋"/>
          <w:snapToGrid/>
          <w:kern w:val="2"/>
          <w:sz w:val="32"/>
          <w:szCs w:val="32"/>
          <w:lang w:eastAsia="zh-CN"/>
        </w:rPr>
        <w:t>10</w:t>
      </w:r>
      <w:r>
        <w:rPr>
          <w:rFonts w:ascii="仿宋" w:hAnsi="仿宋" w:eastAsia="仿宋"/>
          <w:snapToGrid/>
          <w:kern w:val="2"/>
          <w:sz w:val="32"/>
          <w:szCs w:val="32"/>
          <w:lang w:eastAsia="zh-CN"/>
        </w:rPr>
        <w:t xml:space="preserve">月  </w:t>
      </w:r>
      <w:r>
        <w:rPr>
          <w:rFonts w:hint="eastAsia" w:ascii="仿宋" w:hAnsi="仿宋" w:eastAsia="仿宋"/>
          <w:snapToGrid/>
          <w:kern w:val="2"/>
          <w:sz w:val="32"/>
          <w:szCs w:val="32"/>
          <w:lang w:eastAsia="zh-CN"/>
        </w:rPr>
        <w:t>2</w:t>
      </w:r>
      <w:r>
        <w:rPr>
          <w:rFonts w:hint="eastAsia" w:ascii="仿宋" w:hAnsi="仿宋" w:eastAsia="仿宋"/>
          <w:snapToGrid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/>
          <w:snapToGrid/>
          <w:kern w:val="2"/>
          <w:sz w:val="32"/>
          <w:szCs w:val="32"/>
          <w:lang w:eastAsia="zh-CN"/>
        </w:rPr>
        <w:t xml:space="preserve"> 日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仿宋" w:hAnsi="仿宋" w:eastAsia="仿宋"/>
          <w:snapToGrid/>
          <w:kern w:val="2"/>
          <w:sz w:val="44"/>
          <w:szCs w:val="44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pStyle w:val="2"/>
        <w:spacing w:line="289" w:lineRule="auto"/>
        <w:rPr>
          <w:lang w:eastAsia="zh-CN"/>
        </w:rPr>
      </w:pPr>
    </w:p>
    <w:p>
      <w:pPr>
        <w:pStyle w:val="2"/>
        <w:spacing w:line="290" w:lineRule="auto"/>
        <w:rPr>
          <w:lang w:eastAsia="zh-CN"/>
        </w:rPr>
      </w:pPr>
    </w:p>
    <w:p>
      <w:pPr>
        <w:spacing w:before="140" w:line="223" w:lineRule="auto"/>
        <w:ind w:left="3502"/>
        <w:outlineLvl w:val="0"/>
        <w:rPr>
          <w:rFonts w:hint="eastAsia" w:ascii="仿宋" w:hAnsi="仿宋" w:eastAsia="仿宋" w:cs="仿宋"/>
          <w:b/>
          <w:bCs/>
          <w:sz w:val="43"/>
          <w:szCs w:val="43"/>
          <w:lang w:eastAsia="zh-CN"/>
        </w:rPr>
      </w:pPr>
      <w:r>
        <w:rPr>
          <w:rFonts w:hint="eastAsia" w:ascii="仿宋" w:hAnsi="仿宋" w:eastAsia="仿宋" w:cs="Times New Roman"/>
          <w:b/>
          <w:bCs/>
          <w:snapToGrid/>
          <w:kern w:val="2"/>
          <w:sz w:val="44"/>
          <w:szCs w:val="22"/>
          <w:lang w:eastAsia="zh-CN"/>
        </w:rPr>
        <w:t>目   录</w:t>
      </w:r>
    </w:p>
    <w:p>
      <w:pPr>
        <w:pStyle w:val="2"/>
        <w:spacing w:line="341" w:lineRule="auto"/>
        <w:rPr>
          <w:lang w:eastAsia="zh-CN"/>
        </w:rPr>
      </w:pPr>
    </w:p>
    <w:p>
      <w:pPr>
        <w:pStyle w:val="2"/>
        <w:spacing w:line="342" w:lineRule="auto"/>
        <w:rPr>
          <w:lang w:eastAsia="zh-CN"/>
        </w:rPr>
      </w:pPr>
    </w:p>
    <w:p>
      <w:pPr>
        <w:spacing w:before="101" w:line="223" w:lineRule="auto"/>
        <w:ind w:left="49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  <w:t>第一部分</w:t>
      </w:r>
      <w:r>
        <w:rPr>
          <w:rFonts w:ascii="Times New Roman" w:hAnsi="Times New Roman" w:eastAsia="仿宋_GB2312" w:cs="Times New Roman"/>
          <w:spacing w:val="18"/>
          <w:sz w:val="31"/>
          <w:szCs w:val="31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  <w:t>部门概况</w:t>
      </w:r>
    </w:p>
    <w:p>
      <w:pPr>
        <w:spacing w:before="249" w:line="223" w:lineRule="auto"/>
        <w:ind w:left="40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z w:val="31"/>
          <w:szCs w:val="31"/>
          <w:lang w:eastAsia="zh-CN"/>
        </w:rPr>
        <w:t>一、部门职责</w:t>
      </w:r>
    </w:p>
    <w:p>
      <w:pPr>
        <w:spacing w:before="250" w:line="222" w:lineRule="auto"/>
        <w:ind w:left="45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7"/>
          <w:sz w:val="31"/>
          <w:szCs w:val="31"/>
          <w:lang w:eastAsia="zh-CN"/>
        </w:rPr>
        <w:t>二、机构设置及部门决算单位构成</w:t>
      </w:r>
    </w:p>
    <w:p>
      <w:pPr>
        <w:spacing w:before="250" w:line="223" w:lineRule="auto"/>
        <w:ind w:left="49"/>
        <w:outlineLvl w:val="1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2"/>
          <w:sz w:val="31"/>
          <w:szCs w:val="31"/>
          <w:lang w:eastAsia="zh-CN"/>
        </w:rPr>
        <w:t>第二部分</w:t>
      </w:r>
      <w:r>
        <w:rPr>
          <w:rFonts w:ascii="Times New Roman" w:hAnsi="Times New Roman" w:eastAsia="仿宋_GB2312" w:cs="Times New Roman"/>
          <w:spacing w:val="2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pacing w:val="2"/>
          <w:sz w:val="31"/>
          <w:szCs w:val="31"/>
          <w:lang w:eastAsia="zh-CN"/>
        </w:rPr>
        <w:t>2023</w:t>
      </w:r>
      <w:r>
        <w:rPr>
          <w:rFonts w:ascii="Times New Roman" w:hAnsi="Times New Roman" w:eastAsia="仿宋_GB2312" w:cs="Times New Roman"/>
          <w:spacing w:val="-36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pacing w:val="2"/>
          <w:sz w:val="31"/>
          <w:szCs w:val="31"/>
          <w:lang w:eastAsia="zh-CN"/>
        </w:rPr>
        <w:t>年度部门决算表</w:t>
      </w:r>
    </w:p>
    <w:p>
      <w:pPr>
        <w:spacing w:before="250" w:line="223" w:lineRule="auto"/>
        <w:ind w:left="40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4"/>
          <w:sz w:val="31"/>
          <w:szCs w:val="31"/>
          <w:lang w:eastAsia="zh-CN"/>
        </w:rPr>
        <w:t>一、收入支出决算总表</w:t>
      </w:r>
    </w:p>
    <w:p>
      <w:pPr>
        <w:spacing w:before="250" w:line="223" w:lineRule="auto"/>
        <w:ind w:left="45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5"/>
          <w:sz w:val="31"/>
          <w:szCs w:val="31"/>
          <w:lang w:eastAsia="zh-CN"/>
        </w:rPr>
        <w:t>二、收入决算表</w:t>
      </w:r>
    </w:p>
    <w:p>
      <w:pPr>
        <w:spacing w:before="249" w:line="223" w:lineRule="auto"/>
        <w:ind w:left="44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5"/>
          <w:sz w:val="31"/>
          <w:szCs w:val="31"/>
          <w:lang w:eastAsia="zh-CN"/>
        </w:rPr>
        <w:t>三、支出决算表</w:t>
      </w:r>
    </w:p>
    <w:p>
      <w:pPr>
        <w:spacing w:before="250" w:line="223" w:lineRule="auto"/>
        <w:ind w:left="73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5"/>
          <w:sz w:val="31"/>
          <w:szCs w:val="31"/>
          <w:lang w:eastAsia="zh-CN"/>
        </w:rPr>
        <w:t>四、财政拨款收入支出决算总表</w:t>
      </w:r>
    </w:p>
    <w:p>
      <w:pPr>
        <w:spacing w:before="249" w:line="223" w:lineRule="auto"/>
        <w:ind w:left="40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8"/>
          <w:sz w:val="31"/>
          <w:szCs w:val="31"/>
          <w:lang w:eastAsia="zh-CN"/>
        </w:rPr>
        <w:t>五、一般公共预算财政拨款支出决算表</w:t>
      </w:r>
    </w:p>
    <w:p>
      <w:pPr>
        <w:spacing w:before="250" w:line="223" w:lineRule="auto"/>
        <w:ind w:left="38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8"/>
          <w:sz w:val="31"/>
          <w:szCs w:val="31"/>
          <w:lang w:eastAsia="zh-CN"/>
        </w:rPr>
        <w:t>六、一般公共预算财政拨款基本支出决算明细表</w:t>
      </w:r>
    </w:p>
    <w:p>
      <w:pPr>
        <w:spacing w:before="251" w:line="221" w:lineRule="auto"/>
        <w:ind w:left="41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7"/>
          <w:sz w:val="31"/>
          <w:szCs w:val="31"/>
          <w:lang w:eastAsia="zh-CN"/>
        </w:rPr>
        <w:t>七、政府性基金预算财政拨款收入支出决算表</w:t>
      </w:r>
    </w:p>
    <w:p>
      <w:pPr>
        <w:spacing w:before="252" w:line="223" w:lineRule="auto"/>
        <w:ind w:left="34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5"/>
          <w:sz w:val="31"/>
          <w:szCs w:val="31"/>
          <w:lang w:eastAsia="zh-CN"/>
        </w:rPr>
        <w:t>八、</w:t>
      </w:r>
      <w:r>
        <w:rPr>
          <w:rFonts w:ascii="Times New Roman" w:hAnsi="Times New Roman" w:eastAsia="仿宋_GB2312" w:cs="Times New Roman"/>
          <w:spacing w:val="-82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5"/>
          <w:sz w:val="31"/>
          <w:szCs w:val="31"/>
          <w:lang w:eastAsia="zh-CN"/>
        </w:rPr>
        <w:t>国有资本经营预算财政拨款支出决算表</w:t>
      </w:r>
    </w:p>
    <w:p>
      <w:pPr>
        <w:spacing w:before="249" w:line="223" w:lineRule="auto"/>
        <w:ind w:left="47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8"/>
          <w:sz w:val="31"/>
          <w:szCs w:val="31"/>
          <w:lang w:eastAsia="zh-CN"/>
        </w:rPr>
        <w:t>九、财政拨款“三公”经费支出决算表</w:t>
      </w:r>
    </w:p>
    <w:p>
      <w:pPr>
        <w:spacing w:before="250" w:line="223" w:lineRule="auto"/>
        <w:ind w:left="44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6"/>
          <w:sz w:val="31"/>
          <w:szCs w:val="31"/>
          <w:lang w:eastAsia="zh-CN"/>
        </w:rPr>
        <w:t>十、部门预算项目支出绩效自评表</w:t>
      </w:r>
    </w:p>
    <w:p>
      <w:pPr>
        <w:spacing w:before="249" w:line="223" w:lineRule="auto"/>
        <w:ind w:left="49"/>
        <w:outlineLvl w:val="1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3"/>
          <w:sz w:val="31"/>
          <w:szCs w:val="31"/>
          <w:lang w:eastAsia="zh-CN"/>
        </w:rPr>
        <w:t>第三部分</w:t>
      </w:r>
      <w:r>
        <w:rPr>
          <w:rFonts w:ascii="Times New Roman" w:hAnsi="Times New Roman" w:eastAsia="仿宋_GB2312" w:cs="Times New Roman"/>
          <w:spacing w:val="3"/>
          <w:sz w:val="31"/>
          <w:szCs w:val="31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3"/>
          <w:sz w:val="31"/>
          <w:szCs w:val="31"/>
          <w:lang w:eastAsia="zh-CN"/>
        </w:rPr>
        <w:t>2023</w:t>
      </w:r>
      <w:r>
        <w:rPr>
          <w:rFonts w:ascii="Times New Roman" w:hAnsi="Times New Roman" w:eastAsia="仿宋_GB2312" w:cs="Times New Roman"/>
          <w:spacing w:val="-37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pacing w:val="3"/>
          <w:sz w:val="31"/>
          <w:szCs w:val="31"/>
          <w:lang w:eastAsia="zh-CN"/>
        </w:rPr>
        <w:t>年度部门决算情况说明</w:t>
      </w:r>
    </w:p>
    <w:p>
      <w:pPr>
        <w:spacing w:before="250" w:line="223" w:lineRule="auto"/>
        <w:ind w:left="40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5"/>
          <w:sz w:val="31"/>
          <w:szCs w:val="31"/>
          <w:lang w:eastAsia="zh-CN"/>
        </w:rPr>
        <w:t>一、收入支出决算总体情况说明</w:t>
      </w:r>
    </w:p>
    <w:p>
      <w:pPr>
        <w:spacing w:before="250" w:line="223" w:lineRule="auto"/>
        <w:ind w:left="45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6"/>
          <w:sz w:val="31"/>
          <w:szCs w:val="31"/>
          <w:lang w:eastAsia="zh-CN"/>
        </w:rPr>
        <w:t>二、收入决算情况说明</w:t>
      </w:r>
    </w:p>
    <w:p>
      <w:pPr>
        <w:spacing w:before="250" w:line="223" w:lineRule="auto"/>
        <w:ind w:left="44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6"/>
          <w:sz w:val="31"/>
          <w:szCs w:val="31"/>
          <w:lang w:eastAsia="zh-CN"/>
        </w:rPr>
        <w:t>三、支出决算情况说明</w:t>
      </w:r>
    </w:p>
    <w:p>
      <w:pPr>
        <w:spacing w:before="249" w:line="223" w:lineRule="auto"/>
        <w:ind w:left="73"/>
        <w:rPr>
          <w:rFonts w:ascii="Times New Roman" w:hAnsi="Times New Roman" w:eastAsia="仿宋_GB2312" w:cs="Times New Roman"/>
          <w:spacing w:val="6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6"/>
          <w:sz w:val="31"/>
          <w:szCs w:val="31"/>
          <w:lang w:eastAsia="zh-CN"/>
        </w:rPr>
        <w:t>四、财政拨款收入支出决算总体情况说</w:t>
      </w:r>
    </w:p>
    <w:p>
      <w:pPr>
        <w:spacing w:before="159" w:line="223" w:lineRule="auto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8"/>
          <w:sz w:val="31"/>
          <w:szCs w:val="31"/>
          <w:lang w:eastAsia="zh-CN"/>
        </w:rPr>
        <w:t>五、一般公共预算财政拨款支出决算情况说明</w:t>
      </w:r>
    </w:p>
    <w:p>
      <w:pPr>
        <w:spacing w:before="249" w:line="223" w:lineRule="auto"/>
        <w:ind w:left="38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8"/>
          <w:sz w:val="31"/>
          <w:szCs w:val="31"/>
          <w:lang w:eastAsia="zh-CN"/>
        </w:rPr>
        <w:t>六、一般公共预算财政拨款基本支出决算情况说明</w:t>
      </w:r>
    </w:p>
    <w:p>
      <w:pPr>
        <w:spacing w:before="250" w:line="221" w:lineRule="auto"/>
        <w:ind w:left="41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8"/>
          <w:sz w:val="31"/>
          <w:szCs w:val="31"/>
          <w:lang w:eastAsia="zh-CN"/>
        </w:rPr>
        <w:t>七、政府性基金预算财政拨款收入支出决算情况说明</w:t>
      </w:r>
    </w:p>
    <w:p>
      <w:pPr>
        <w:spacing w:before="251" w:line="223" w:lineRule="auto"/>
        <w:ind w:left="34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6"/>
          <w:sz w:val="31"/>
          <w:szCs w:val="31"/>
          <w:lang w:eastAsia="zh-CN"/>
        </w:rPr>
        <w:t>八、</w:t>
      </w:r>
      <w:r>
        <w:rPr>
          <w:rFonts w:ascii="Times New Roman" w:hAnsi="Times New Roman" w:eastAsia="仿宋_GB2312" w:cs="Times New Roman"/>
          <w:spacing w:val="-91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6"/>
          <w:sz w:val="31"/>
          <w:szCs w:val="31"/>
          <w:lang w:eastAsia="zh-CN"/>
        </w:rPr>
        <w:t>国有资本经营预算财政拨款支出决算情况说明</w:t>
      </w:r>
    </w:p>
    <w:p>
      <w:pPr>
        <w:spacing w:before="250" w:line="223" w:lineRule="auto"/>
        <w:ind w:left="47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8"/>
          <w:sz w:val="31"/>
          <w:szCs w:val="31"/>
          <w:lang w:eastAsia="zh-CN"/>
        </w:rPr>
        <w:t>九、财政拨款“三公”经费支出决算情况说明</w:t>
      </w:r>
    </w:p>
    <w:p>
      <w:pPr>
        <w:spacing w:before="249" w:line="224" w:lineRule="auto"/>
        <w:ind w:left="44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6"/>
          <w:sz w:val="31"/>
          <w:szCs w:val="31"/>
          <w:lang w:eastAsia="zh-CN"/>
        </w:rPr>
        <w:t>十、绩效评价情况说明</w:t>
      </w:r>
    </w:p>
    <w:p>
      <w:pPr>
        <w:spacing w:before="248" w:line="223" w:lineRule="auto"/>
        <w:ind w:left="44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spacing w:val="7"/>
          <w:sz w:val="31"/>
          <w:szCs w:val="31"/>
          <w:lang w:eastAsia="zh-CN"/>
        </w:rPr>
        <w:t>十一、其他重要事项情况说明</w:t>
      </w:r>
    </w:p>
    <w:p>
      <w:pPr>
        <w:spacing w:before="250" w:line="224" w:lineRule="auto"/>
        <w:ind w:left="49"/>
        <w:rPr>
          <w:rFonts w:ascii="Times New Roman" w:hAnsi="Times New Roman" w:eastAsia="仿宋_GB2312" w:cs="Times New Roman"/>
          <w:sz w:val="31"/>
          <w:szCs w:val="31"/>
          <w:lang w:eastAsia="zh-CN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  <w:t>第四部分</w:t>
      </w:r>
      <w:r>
        <w:rPr>
          <w:rFonts w:ascii="Times New Roman" w:hAnsi="Times New Roman" w:eastAsia="仿宋_GB2312" w:cs="Times New Roman"/>
          <w:spacing w:val="18"/>
          <w:sz w:val="31"/>
          <w:szCs w:val="31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  <w:t>名词解释</w:t>
      </w:r>
    </w:p>
    <w:p>
      <w:pPr>
        <w:spacing w:before="189" w:line="443" w:lineRule="exact"/>
        <w:outlineLvl w:val="0"/>
        <w:rPr>
          <w:rFonts w:hint="eastAsia" w:ascii="黑体" w:hAnsi="黑体" w:eastAsia="黑体" w:cs="Times New Roman"/>
          <w:b/>
          <w:bCs/>
          <w:sz w:val="36"/>
          <w:szCs w:val="36"/>
          <w:lang w:eastAsia="zh-CN"/>
        </w:rPr>
      </w:pPr>
      <w:r>
        <w:rPr>
          <w:rFonts w:ascii="Times New Roman" w:hAnsi="Times New Roman" w:eastAsia="仿宋_GB2312" w:cs="Times New Roman"/>
          <w:sz w:val="31"/>
          <w:szCs w:val="31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  <w:t xml:space="preserve">                   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 xml:space="preserve">  </w:t>
      </w:r>
      <w:r>
        <w:rPr>
          <w:rFonts w:ascii="黑体" w:hAnsi="黑体" w:eastAsia="黑体" w:cs="Times New Roman"/>
          <w:b/>
          <w:bCs/>
          <w:spacing w:val="1"/>
          <w:position w:val="-2"/>
          <w:sz w:val="36"/>
          <w:szCs w:val="36"/>
          <w:lang w:eastAsia="zh-CN"/>
        </w:rPr>
        <w:t>第一部分</w:t>
      </w:r>
      <w:r>
        <w:rPr>
          <w:rFonts w:ascii="黑体" w:hAnsi="黑体" w:eastAsia="黑体" w:cs="Times New Roman"/>
          <w:b/>
          <w:bCs/>
          <w:spacing w:val="14"/>
          <w:position w:val="-2"/>
          <w:sz w:val="36"/>
          <w:szCs w:val="36"/>
          <w:lang w:eastAsia="zh-CN"/>
        </w:rPr>
        <w:t xml:space="preserve">  </w:t>
      </w:r>
      <w:r>
        <w:rPr>
          <w:rFonts w:ascii="黑体" w:hAnsi="黑体" w:eastAsia="黑体" w:cs="Times New Roman"/>
          <w:b/>
          <w:bCs/>
          <w:spacing w:val="1"/>
          <w:position w:val="-2"/>
          <w:sz w:val="36"/>
          <w:szCs w:val="36"/>
          <w:lang w:eastAsia="zh-CN"/>
        </w:rPr>
        <w:t>部门概况</w:t>
      </w:r>
    </w:p>
    <w:p>
      <w:pPr>
        <w:pStyle w:val="2"/>
        <w:spacing w:line="314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1" w:line="224" w:lineRule="auto"/>
        <w:ind w:firstLine="671" w:firstLineChars="200"/>
        <w:rPr>
          <w:rFonts w:hint="eastAsia" w:cs="Times New Roman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7"/>
          <w:sz w:val="32"/>
          <w:szCs w:val="32"/>
          <w:lang w:eastAsia="zh-CN"/>
        </w:rPr>
        <w:t>一、部门主要职责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/>
          <w:sz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lang w:eastAsia="zh-CN"/>
        </w:rPr>
        <w:t>负责辖区内校外教育工作的业务指导；教育信息网络管理。</w:t>
      </w:r>
    </w:p>
    <w:p>
      <w:pPr>
        <w:spacing w:before="251" w:line="224" w:lineRule="auto"/>
        <w:ind w:left="672"/>
        <w:rPr>
          <w:rFonts w:hint="eastAsia" w:cs="Times New Roman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8"/>
          <w:sz w:val="32"/>
          <w:szCs w:val="32"/>
          <w:lang w:eastAsia="zh-CN"/>
        </w:rPr>
        <w:t>二、机构设置及部门决算单位构成</w:t>
      </w:r>
    </w:p>
    <w:p>
      <w:pPr>
        <w:spacing w:before="251" w:line="360" w:lineRule="auto"/>
        <w:ind w:firstLine="664" w:firstLineChars="200"/>
        <w:rPr>
          <w:rFonts w:hint="eastAsia" w:cs="Times New Roman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根据上述职责</w:t>
      </w:r>
      <w:r>
        <w:rPr>
          <w:rFonts w:hint="eastAsia" w:cs="Times New Roman" w:asciiTheme="minorEastAsia" w:hAnsiTheme="minorEastAsia" w:eastAsiaTheme="minorEastAsia"/>
          <w:spacing w:val="6"/>
          <w:sz w:val="32"/>
          <w:szCs w:val="32"/>
          <w:lang w:eastAsia="zh-CN"/>
        </w:rPr>
        <w:t>，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  <w:t>榆树市青少年校外教育活动中心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内设</w:t>
      </w:r>
      <w:r>
        <w:rPr>
          <w:rFonts w:hint="eastAsia" w:cs="Times New Roman" w:asciiTheme="minorEastAsia" w:hAnsiTheme="minorEastAsia" w:eastAsiaTheme="minorEastAsia"/>
          <w:spacing w:val="6"/>
          <w:sz w:val="32"/>
          <w:szCs w:val="32"/>
          <w:lang w:eastAsia="zh-CN"/>
        </w:rPr>
        <w:t>1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个机构</w:t>
      </w:r>
      <w:r>
        <w:rPr>
          <w:rFonts w:cs="Times New Roman" w:asciiTheme="minorEastAsia" w:hAnsiTheme="minorEastAsia" w:eastAsiaTheme="minorEastAsia"/>
          <w:spacing w:val="-12"/>
          <w:sz w:val="32"/>
          <w:szCs w:val="32"/>
          <w:lang w:eastAsia="zh-CN"/>
        </w:rPr>
        <w:t>。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纳入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  <w:t>榆树市青少年校外教育活动中心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2023年度部门决算编制范</w:t>
      </w:r>
      <w:r>
        <w:rPr>
          <w:rFonts w:cs="Times New Roman" w:asciiTheme="minorEastAsia" w:hAnsiTheme="minorEastAsia" w:eastAsiaTheme="minorEastAsia"/>
          <w:spacing w:val="-6"/>
          <w:sz w:val="32"/>
          <w:szCs w:val="32"/>
          <w:lang w:eastAsia="zh-CN"/>
        </w:rPr>
        <w:t>围的单位包括：</w:t>
      </w:r>
    </w:p>
    <w:p>
      <w:pPr>
        <w:spacing w:before="53" w:line="360" w:lineRule="auto"/>
        <w:ind w:left="691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1.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  <w:t xml:space="preserve"> 榆树市青少年校外教育活动中心本级。</w:t>
      </w:r>
    </w:p>
    <w:p>
      <w:pPr>
        <w:spacing w:line="360" w:lineRule="auto"/>
        <w:rPr>
          <w:rFonts w:ascii="Times New Roman" w:hAnsi="Times New Roman" w:eastAsia="仿宋_GB2312" w:cs="Times New Roman"/>
          <w:sz w:val="31"/>
          <w:szCs w:val="31"/>
          <w:lang w:eastAsia="zh-CN"/>
        </w:rPr>
      </w:pPr>
    </w:p>
    <w:p>
      <w:pPr>
        <w:spacing w:before="189" w:line="186" w:lineRule="auto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before="189" w:line="186" w:lineRule="auto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before="189" w:line="186" w:lineRule="auto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before="189" w:line="186" w:lineRule="auto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before="189" w:line="186" w:lineRule="auto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before="189" w:line="186" w:lineRule="auto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before="189" w:line="186" w:lineRule="auto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before="189" w:line="186" w:lineRule="auto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before="189" w:line="186" w:lineRule="auto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before="189" w:line="186" w:lineRule="auto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before="189" w:line="186" w:lineRule="auto"/>
        <w:rPr>
          <w:rFonts w:ascii="Times New Roman" w:hAnsi="Times New Roman" w:eastAsia="仿宋_GB2312" w:cs="Times New Roman"/>
          <w:b/>
          <w:bCs/>
          <w:sz w:val="44"/>
          <w:szCs w:val="44"/>
          <w:lang w:eastAsia="zh-CN"/>
        </w:rPr>
      </w:pPr>
    </w:p>
    <w:p>
      <w:pPr>
        <w:spacing w:before="189" w:line="186" w:lineRule="auto"/>
        <w:ind w:firstLine="1807" w:firstLineChars="500"/>
        <w:rPr>
          <w:rFonts w:hint="eastAsia" w:ascii="黑体" w:hAnsi="黑体" w:eastAsia="黑体" w:cs="Times New Roman"/>
          <w:b/>
          <w:bCs/>
          <w:sz w:val="36"/>
          <w:szCs w:val="36"/>
          <w:lang w:eastAsia="zh-CN"/>
        </w:rPr>
      </w:pPr>
    </w:p>
    <w:p>
      <w:pPr>
        <w:spacing w:before="189" w:line="186" w:lineRule="auto"/>
        <w:ind w:firstLine="1807" w:firstLineChars="500"/>
        <w:rPr>
          <w:rFonts w:hint="eastAsia" w:ascii="黑体" w:hAnsi="黑体" w:eastAsia="黑体" w:cs="Times New Roman"/>
          <w:b/>
          <w:bCs/>
          <w:sz w:val="36"/>
          <w:szCs w:val="36"/>
          <w:lang w:eastAsia="zh-CN"/>
        </w:rPr>
      </w:pPr>
      <w:r>
        <w:rPr>
          <w:rFonts w:ascii="黑体" w:hAnsi="黑体" w:eastAsia="黑体" w:cs="Times New Roman"/>
          <w:b/>
          <w:bCs/>
          <w:sz w:val="36"/>
          <w:szCs w:val="36"/>
          <w:lang w:eastAsia="zh-CN"/>
        </w:rPr>
        <w:t>第二部分</w:t>
      </w:r>
      <w:r>
        <w:rPr>
          <w:rFonts w:ascii="黑体" w:hAnsi="黑体" w:eastAsia="黑体" w:cs="Times New Roman"/>
          <w:b/>
          <w:bCs/>
          <w:spacing w:val="111"/>
          <w:sz w:val="36"/>
          <w:szCs w:val="36"/>
          <w:lang w:eastAsia="zh-CN"/>
        </w:rPr>
        <w:t xml:space="preserve"> </w:t>
      </w:r>
      <w:r>
        <w:rPr>
          <w:rFonts w:ascii="黑体" w:hAnsi="黑体" w:eastAsia="黑体" w:cs="Times New Roman"/>
          <w:b/>
          <w:bCs/>
          <w:sz w:val="36"/>
          <w:szCs w:val="36"/>
          <w:lang w:eastAsia="zh-CN"/>
        </w:rPr>
        <w:t>2023</w:t>
      </w:r>
      <w:r>
        <w:rPr>
          <w:rFonts w:ascii="黑体" w:hAnsi="黑体" w:eastAsia="黑体" w:cs="Times New Roman"/>
          <w:b/>
          <w:bCs/>
          <w:spacing w:val="-103"/>
          <w:sz w:val="36"/>
          <w:szCs w:val="36"/>
          <w:lang w:eastAsia="zh-CN"/>
        </w:rPr>
        <w:t xml:space="preserve"> </w:t>
      </w:r>
      <w:r>
        <w:rPr>
          <w:rFonts w:ascii="黑体" w:hAnsi="黑体" w:eastAsia="黑体" w:cs="Times New Roman"/>
          <w:b/>
          <w:bCs/>
          <w:sz w:val="36"/>
          <w:szCs w:val="36"/>
          <w:lang w:eastAsia="zh-CN"/>
        </w:rPr>
        <w:t>年度部门决算表</w:t>
      </w:r>
    </w:p>
    <w:p>
      <w:pPr>
        <w:pStyle w:val="2"/>
        <w:spacing w:line="268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268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268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0" w:line="224" w:lineRule="auto"/>
        <w:ind w:left="672"/>
        <w:rPr>
          <w:rFonts w:ascii="Times New Roman" w:hAnsi="Times New Roman" w:eastAsia="仿宋_GB2312" w:cs="Times New Roman"/>
          <w:b/>
          <w:bCs/>
          <w:spacing w:val="7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7"/>
          <w:sz w:val="31"/>
          <w:szCs w:val="31"/>
        </w:rPr>
        <w:t>一、收入支出决算总表</w:t>
      </w:r>
    </w:p>
    <w:p>
      <w:pPr>
        <w:spacing w:before="100" w:line="224" w:lineRule="auto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  <w:r>
        <w:rPr>
          <w:rFonts w:hint="eastAsia"/>
        </w:rPr>
        <w:drawing>
          <wp:inline distT="0" distB="0" distL="0" distR="0">
            <wp:extent cx="5293995" cy="2784475"/>
            <wp:effectExtent l="0" t="0" r="1905" b="0"/>
            <wp:docPr id="18926148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14822" name="图片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4" w:lineRule="auto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</w:p>
    <w:p>
      <w:pPr>
        <w:pStyle w:val="2"/>
        <w:spacing w:line="337" w:lineRule="auto"/>
        <w:rPr>
          <w:rFonts w:ascii="Times New Roman" w:hAnsi="Times New Roman" w:eastAsia="仿宋_GB2312" w:cs="Times New Roman"/>
        </w:rPr>
      </w:pPr>
    </w:p>
    <w:p>
      <w:pPr>
        <w:pStyle w:val="2"/>
        <w:spacing w:line="338" w:lineRule="auto"/>
        <w:rPr>
          <w:rFonts w:ascii="Times New Roman" w:hAnsi="Times New Roman" w:eastAsia="仿宋_GB2312" w:cs="Times New Roman"/>
        </w:rPr>
      </w:pPr>
    </w:p>
    <w:p>
      <w:pPr>
        <w:spacing w:line="224" w:lineRule="auto"/>
        <w:rPr>
          <w:rFonts w:ascii="Times New Roman" w:hAnsi="Times New Roman" w:eastAsia="仿宋_GB2312" w:cs="Times New Roman"/>
          <w:sz w:val="31"/>
          <w:szCs w:val="31"/>
          <w:lang w:eastAsia="zh-CN"/>
        </w:rPr>
        <w:sectPr>
          <w:footerReference r:id="rId7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340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1" w:line="224" w:lineRule="auto"/>
        <w:ind w:left="672"/>
        <w:rPr>
          <w:rFonts w:ascii="Times New Roman" w:hAnsi="Times New Roman" w:eastAsia="仿宋_GB2312" w:cs="Times New Roman"/>
          <w:b/>
          <w:bCs/>
          <w:spacing w:val="7"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7"/>
          <w:sz w:val="31"/>
          <w:szCs w:val="31"/>
        </w:rPr>
        <w:t>二、收入决算表</w:t>
      </w:r>
    </w:p>
    <w:p>
      <w:pPr>
        <w:spacing w:before="101" w:line="224" w:lineRule="auto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  <w:r>
        <w:rPr>
          <w:rFonts w:hint="eastAsia"/>
        </w:rPr>
        <w:drawing>
          <wp:inline distT="0" distB="0" distL="0" distR="0">
            <wp:extent cx="5293995" cy="3292475"/>
            <wp:effectExtent l="0" t="0" r="1905" b="3175"/>
            <wp:docPr id="17970849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084904" name="图片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4" w:lineRule="auto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</w:p>
    <w:p>
      <w:pPr>
        <w:pStyle w:val="2"/>
        <w:spacing w:line="261" w:lineRule="auto"/>
        <w:rPr>
          <w:rFonts w:ascii="Times New Roman" w:hAnsi="Times New Roman" w:eastAsia="仿宋_GB2312" w:cs="Times New Roman"/>
        </w:rPr>
      </w:pPr>
    </w:p>
    <w:p>
      <w:pPr>
        <w:pStyle w:val="2"/>
        <w:spacing w:line="261" w:lineRule="auto"/>
        <w:rPr>
          <w:rFonts w:ascii="Times New Roman" w:hAnsi="Times New Roman" w:eastAsia="仿宋_GB2312" w:cs="Times New Roman"/>
        </w:rPr>
      </w:pPr>
    </w:p>
    <w:p>
      <w:pPr>
        <w:spacing w:line="356" w:lineRule="auto"/>
        <w:rPr>
          <w:rFonts w:ascii="Times New Roman" w:hAnsi="Times New Roman" w:eastAsia="仿宋_GB2312" w:cs="Times New Roman"/>
          <w:sz w:val="31"/>
          <w:szCs w:val="31"/>
          <w:lang w:eastAsia="zh-CN"/>
        </w:rPr>
        <w:sectPr>
          <w:footerReference r:id="rId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340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1" w:line="224" w:lineRule="auto"/>
        <w:ind w:left="674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7"/>
          <w:sz w:val="31"/>
          <w:szCs w:val="31"/>
        </w:rPr>
        <w:t>三、支出决算表</w:t>
      </w:r>
    </w:p>
    <w:p>
      <w:pPr>
        <w:spacing w:before="101" w:line="224" w:lineRule="auto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</w:p>
    <w:p>
      <w:pPr>
        <w:pStyle w:val="2"/>
        <w:spacing w:line="242" w:lineRule="auto"/>
        <w:rPr>
          <w:rFonts w:ascii="Times New Roman" w:hAnsi="Times New Roman" w:eastAsia="仿宋_GB2312" w:cs="Times New Roman"/>
        </w:rPr>
      </w:pPr>
    </w:p>
    <w:p>
      <w:pPr>
        <w:pStyle w:val="2"/>
        <w:spacing w:line="242" w:lineRule="auto"/>
        <w:rPr>
          <w:rFonts w:ascii="Times New Roman" w:hAnsi="Times New Roman" w:eastAsia="仿宋_GB2312" w:cs="Times New Roman"/>
        </w:rPr>
      </w:pPr>
    </w:p>
    <w:p>
      <w:pPr>
        <w:pStyle w:val="2"/>
        <w:spacing w:line="242" w:lineRule="auto"/>
        <w:rPr>
          <w:rFonts w:ascii="Times New Roman" w:hAnsi="Times New Roman" w:eastAsia="仿宋_GB2312" w:cs="Times New Roman"/>
        </w:rPr>
      </w:pPr>
    </w:p>
    <w:p>
      <w:pPr>
        <w:spacing w:line="356" w:lineRule="auto"/>
        <w:rPr>
          <w:rFonts w:ascii="Times New Roman" w:hAnsi="Times New Roman" w:eastAsia="仿宋_GB2312" w:cs="Times New Roman"/>
          <w:sz w:val="31"/>
          <w:szCs w:val="31"/>
          <w:lang w:eastAsia="zh-CN"/>
        </w:rPr>
        <w:sectPr>
          <w:footerReference r:id="rId9" w:type="default"/>
          <w:pgSz w:w="11907" w:h="16839"/>
          <w:pgMar w:top="1431" w:right="1785" w:bottom="1150" w:left="1785" w:header="0" w:footer="965" w:gutter="0"/>
          <w:cols w:space="720" w:num="1"/>
        </w:sectPr>
      </w:pPr>
      <w:r>
        <w:drawing>
          <wp:inline distT="0" distB="0" distL="0" distR="0">
            <wp:extent cx="5293995" cy="3626485"/>
            <wp:effectExtent l="0" t="0" r="1905" b="0"/>
            <wp:docPr id="15334143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14329" name="图片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340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1" w:line="224" w:lineRule="auto"/>
        <w:ind w:left="686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7"/>
          <w:sz w:val="31"/>
          <w:szCs w:val="31"/>
          <w:lang w:eastAsia="zh-CN"/>
        </w:rPr>
        <w:t>四、财政拨款收入支出决算总表</w:t>
      </w:r>
    </w:p>
    <w:p>
      <w:pPr>
        <w:spacing w:before="101" w:line="224" w:lineRule="auto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</w:p>
    <w:p>
      <w:pPr>
        <w:pStyle w:val="2"/>
        <w:spacing w:line="273" w:lineRule="auto"/>
        <w:rPr>
          <w:rFonts w:ascii="Times New Roman" w:hAnsi="Times New Roman" w:eastAsia="仿宋_GB2312" w:cs="Times New Roman"/>
        </w:rPr>
      </w:pPr>
      <w:r>
        <w:drawing>
          <wp:inline distT="0" distB="0" distL="0" distR="0">
            <wp:extent cx="5293995" cy="2318385"/>
            <wp:effectExtent l="0" t="0" r="1905" b="5715"/>
            <wp:docPr id="1440450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5018" name="图片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3" w:lineRule="auto"/>
        <w:rPr>
          <w:rFonts w:ascii="Times New Roman" w:hAnsi="Times New Roman" w:eastAsia="仿宋_GB2312" w:cs="Times New Roman"/>
        </w:rPr>
      </w:pPr>
    </w:p>
    <w:p>
      <w:pPr>
        <w:pStyle w:val="2"/>
        <w:spacing w:line="274" w:lineRule="auto"/>
        <w:rPr>
          <w:rFonts w:ascii="Times New Roman" w:hAnsi="Times New Roman" w:eastAsia="仿宋_GB2312" w:cs="Times New Roman"/>
        </w:rPr>
      </w:pPr>
    </w:p>
    <w:p>
      <w:pPr>
        <w:spacing w:line="224" w:lineRule="auto"/>
        <w:rPr>
          <w:rFonts w:ascii="Times New Roman" w:hAnsi="Times New Roman" w:eastAsia="仿宋_GB2312" w:cs="Times New Roman"/>
          <w:sz w:val="31"/>
          <w:szCs w:val="31"/>
          <w:lang w:eastAsia="zh-CN"/>
        </w:r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0" w:line="224" w:lineRule="auto"/>
        <w:ind w:left="676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8"/>
          <w:sz w:val="31"/>
          <w:szCs w:val="31"/>
          <w:lang w:eastAsia="zh-CN"/>
        </w:rPr>
        <w:t>五、一般公共预算财政拨款支出决算表</w:t>
      </w:r>
    </w:p>
    <w:p>
      <w:pPr>
        <w:spacing w:before="100" w:line="224" w:lineRule="auto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</w:p>
    <w:p>
      <w:pPr>
        <w:spacing w:line="361" w:lineRule="auto"/>
        <w:rPr>
          <w:rFonts w:ascii="Times New Roman" w:hAnsi="Times New Roman" w:eastAsia="仿宋_GB2312" w:cs="Times New Roman"/>
          <w:sz w:val="31"/>
          <w:szCs w:val="31"/>
          <w:lang w:eastAsia="zh-CN"/>
        </w:rPr>
        <w:sectPr>
          <w:footerReference r:id="rId11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hint="eastAsia"/>
        </w:rPr>
        <w:drawing>
          <wp:inline distT="0" distB="0" distL="0" distR="0">
            <wp:extent cx="5293995" cy="3619500"/>
            <wp:effectExtent l="0" t="0" r="1905" b="0"/>
            <wp:docPr id="205572715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727151" name="图片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0" w:line="224" w:lineRule="auto"/>
        <w:ind w:left="677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8"/>
          <w:sz w:val="31"/>
          <w:szCs w:val="31"/>
          <w:lang w:eastAsia="zh-CN"/>
        </w:rPr>
        <w:t>六、一般公共预算财政拨款基本支出决算明细表</w:t>
      </w:r>
    </w:p>
    <w:p>
      <w:pPr>
        <w:spacing w:before="100" w:line="224" w:lineRule="auto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</w:p>
    <w:p>
      <w:pPr>
        <w:pStyle w:val="2"/>
        <w:spacing w:line="270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line="361" w:lineRule="auto"/>
        <w:rPr>
          <w:rFonts w:ascii="Times New Roman" w:hAnsi="Times New Roman" w:eastAsia="仿宋_GB2312" w:cs="Times New Roman"/>
          <w:sz w:val="31"/>
          <w:szCs w:val="31"/>
          <w:lang w:eastAsia="zh-CN"/>
        </w:r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hint="eastAsia"/>
        </w:rPr>
        <w:drawing>
          <wp:inline distT="0" distB="0" distL="0" distR="0">
            <wp:extent cx="5293995" cy="3126740"/>
            <wp:effectExtent l="0" t="0" r="1905" b="0"/>
            <wp:docPr id="10638584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858423" name="图片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340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1" w:line="224" w:lineRule="auto"/>
        <w:ind w:left="666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8"/>
          <w:sz w:val="31"/>
          <w:szCs w:val="31"/>
          <w:lang w:eastAsia="zh-CN"/>
        </w:rPr>
        <w:t>七、政府性基金预算财政拨款收入支出决算表</w:t>
      </w:r>
    </w:p>
    <w:p>
      <w:pPr>
        <w:spacing w:before="101" w:line="224" w:lineRule="auto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</w:p>
    <w:p>
      <w:pPr>
        <w:pStyle w:val="2"/>
        <w:spacing w:line="270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line="364" w:lineRule="auto"/>
        <w:rPr>
          <w:rFonts w:ascii="Times New Roman" w:hAnsi="Times New Roman" w:eastAsia="仿宋_GB2312" w:cs="Times New Roman"/>
          <w:sz w:val="31"/>
          <w:szCs w:val="31"/>
          <w:lang w:eastAsia="zh-CN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hint="eastAsia"/>
        </w:rPr>
        <w:drawing>
          <wp:inline distT="0" distB="0" distL="0" distR="0">
            <wp:extent cx="5293995" cy="2614930"/>
            <wp:effectExtent l="0" t="0" r="1905" b="0"/>
            <wp:docPr id="185595754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57541" name="图片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340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1" w:line="224" w:lineRule="auto"/>
        <w:ind w:left="667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8"/>
          <w:sz w:val="31"/>
          <w:szCs w:val="31"/>
          <w:lang w:eastAsia="zh-CN"/>
        </w:rPr>
        <w:t>八、国有资本经营预算财政拨款支出决算表</w:t>
      </w:r>
    </w:p>
    <w:p>
      <w:pPr>
        <w:spacing w:before="101" w:line="224" w:lineRule="auto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</w:p>
    <w:p>
      <w:pPr>
        <w:pStyle w:val="2"/>
        <w:spacing w:line="253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line="364" w:lineRule="auto"/>
        <w:rPr>
          <w:rFonts w:ascii="Times New Roman" w:hAnsi="Times New Roman" w:eastAsia="仿宋_GB2312" w:cs="Times New Roman"/>
          <w:sz w:val="31"/>
          <w:szCs w:val="31"/>
          <w:lang w:eastAsia="zh-CN"/>
        </w:rPr>
        <w:sectPr>
          <w:footerReference r:id="rId14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hint="eastAsia"/>
        </w:rPr>
        <w:drawing>
          <wp:inline distT="0" distB="0" distL="0" distR="0">
            <wp:extent cx="5293995" cy="2967355"/>
            <wp:effectExtent l="0" t="0" r="1905" b="4445"/>
            <wp:docPr id="39807712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77129" name="图片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340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1" w:line="224" w:lineRule="auto"/>
        <w:ind w:left="675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8"/>
          <w:sz w:val="31"/>
          <w:szCs w:val="31"/>
          <w:lang w:eastAsia="zh-CN"/>
        </w:rPr>
        <w:t>九、财政拨款“三公”经费支出决算表</w:t>
      </w:r>
    </w:p>
    <w:p>
      <w:pPr>
        <w:spacing w:before="101" w:line="224" w:lineRule="auto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</w:p>
    <w:p>
      <w:pPr>
        <w:spacing w:line="362" w:lineRule="auto"/>
        <w:rPr>
          <w:rFonts w:ascii="Times New Roman" w:hAnsi="Times New Roman" w:eastAsia="仿宋_GB2312" w:cs="Times New Roman"/>
          <w:sz w:val="31"/>
          <w:szCs w:val="31"/>
          <w:lang w:eastAsia="zh-CN"/>
        </w:rPr>
        <w:sectPr>
          <w:footerReference r:id="rId15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drawing>
          <wp:inline distT="0" distB="0" distL="0" distR="0">
            <wp:extent cx="5293995" cy="1884680"/>
            <wp:effectExtent l="0" t="0" r="1905" b="1270"/>
            <wp:docPr id="175108988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89882" name="图片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339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0" w:line="224" w:lineRule="auto"/>
        <w:ind w:left="30" w:firstLine="654" w:firstLineChars="200"/>
        <w:rPr>
          <w:rFonts w:ascii="Times New Roman" w:hAnsi="Times New Roman" w:eastAsia="仿宋_GB2312" w:cs="Times New Roman"/>
          <w:b/>
          <w:bCs/>
          <w:sz w:val="31"/>
          <w:szCs w:val="31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8"/>
          <w:sz w:val="31"/>
          <w:szCs w:val="31"/>
          <w:lang w:eastAsia="zh-CN"/>
        </w:rPr>
        <w:t>十、部门预算项目支出绩效自评表</w:t>
      </w:r>
    </w:p>
    <w:p>
      <w:pPr>
        <w:pStyle w:val="2"/>
        <w:spacing w:line="261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261" w:lineRule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spacing w:line="261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line="9847" w:lineRule="exact"/>
        <w:ind w:firstLine="297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position w:val="-196"/>
        </w:rPr>
        <w:drawing>
          <wp:inline distT="0" distB="0" distL="0" distR="0">
            <wp:extent cx="4912995" cy="625221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13629" cy="625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847" w:lineRule="exact"/>
        <w:rPr>
          <w:rFonts w:ascii="Times New Roman" w:hAnsi="Times New Roman" w:eastAsia="仿宋_GB2312" w:cs="Times New Roman"/>
        </w:rPr>
        <w:sectPr>
          <w:footerReference r:id="rId1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225" w:line="443" w:lineRule="exact"/>
        <w:ind w:left="482" w:firstLine="743" w:firstLineChars="200"/>
        <w:outlineLvl w:val="0"/>
        <w:rPr>
          <w:rFonts w:hint="eastAsia" w:ascii="黑体" w:hAnsi="黑体" w:eastAsia="黑体" w:cs="Times New Roman"/>
          <w:b/>
          <w:bCs/>
          <w:sz w:val="36"/>
          <w:szCs w:val="36"/>
          <w:lang w:eastAsia="zh-CN"/>
        </w:rPr>
      </w:pPr>
      <w:r>
        <w:rPr>
          <w:rFonts w:ascii="黑体" w:hAnsi="黑体" w:eastAsia="黑体" w:cs="Times New Roman"/>
          <w:b/>
          <w:bCs/>
          <w:spacing w:val="5"/>
          <w:position w:val="-2"/>
          <w:sz w:val="36"/>
          <w:szCs w:val="36"/>
          <w:lang w:eastAsia="zh-CN"/>
        </w:rPr>
        <w:t>第三部分</w:t>
      </w:r>
      <w:r>
        <w:rPr>
          <w:rFonts w:ascii="黑体" w:hAnsi="黑体" w:eastAsia="黑体" w:cs="Times New Roman"/>
          <w:b/>
          <w:bCs/>
          <w:spacing w:val="103"/>
          <w:position w:val="-2"/>
          <w:sz w:val="36"/>
          <w:szCs w:val="36"/>
          <w:lang w:eastAsia="zh-CN"/>
        </w:rPr>
        <w:t xml:space="preserve"> </w:t>
      </w:r>
      <w:r>
        <w:rPr>
          <w:rFonts w:ascii="黑体" w:hAnsi="黑体" w:eastAsia="黑体" w:cs="Times New Roman"/>
          <w:b/>
          <w:bCs/>
          <w:spacing w:val="5"/>
          <w:position w:val="-2"/>
          <w:sz w:val="36"/>
          <w:szCs w:val="36"/>
          <w:lang w:eastAsia="zh-CN"/>
        </w:rPr>
        <w:t>2023年度部门决算情况说明</w:t>
      </w:r>
    </w:p>
    <w:p>
      <w:pPr>
        <w:pStyle w:val="2"/>
        <w:spacing w:line="314" w:lineRule="auto"/>
        <w:rPr>
          <w:rFonts w:ascii="Times New Roman" w:hAnsi="Times New Roman" w:eastAsia="仿宋_GB2312" w:cs="Times New Roman"/>
          <w:lang w:eastAsia="zh-CN"/>
        </w:rPr>
      </w:pPr>
    </w:p>
    <w:p>
      <w:pPr>
        <w:spacing w:before="101" w:line="360" w:lineRule="auto"/>
        <w:ind w:firstLine="675" w:firstLineChars="200"/>
        <w:rPr>
          <w:rFonts w:hint="eastAsia" w:cs="Times New Roman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8"/>
          <w:sz w:val="32"/>
          <w:szCs w:val="32"/>
          <w:lang w:eastAsia="zh-CN"/>
        </w:rPr>
        <w:t>一、收入支出决算总体情况说明</w:t>
      </w:r>
    </w:p>
    <w:p>
      <w:pPr>
        <w:spacing w:before="248" w:line="360" w:lineRule="auto"/>
        <w:ind w:left="36" w:right="113" w:firstLine="634"/>
        <w:rPr>
          <w:rFonts w:hint="eastAsia" w:cs="Times New Roman" w:asciiTheme="minorEastAsia" w:hAnsiTheme="minorEastAsia" w:eastAsiaTheme="minorEastAsia"/>
          <w:spacing w:val="-10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2023</w:t>
      </w:r>
      <w:r>
        <w:rPr>
          <w:rFonts w:cs="Times New Roman" w:asciiTheme="minorEastAsia" w:hAnsiTheme="minorEastAsia" w:eastAsiaTheme="minorEastAsia"/>
          <w:spacing w:val="-21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年度收、支总计均为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72.79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万元。与</w:t>
      </w:r>
      <w:r>
        <w:rPr>
          <w:rFonts w:cs="Times New Roman" w:asciiTheme="minorEastAsia" w:hAnsiTheme="minorEastAsia" w:eastAsiaTheme="minorEastAsia"/>
          <w:spacing w:val="-32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2022</w:t>
      </w:r>
      <w:r>
        <w:rPr>
          <w:rFonts w:cs="Times New Roman" w:asciiTheme="minorEastAsia" w:hAnsiTheme="minorEastAsia" w:eastAsiaTheme="minorEastAsia"/>
          <w:spacing w:val="-35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年度相比，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收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、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支总计各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增加15.48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提高27.01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%。主</w:t>
      </w:r>
      <w:r>
        <w:rPr>
          <w:rFonts w:cs="Times New Roman" w:asciiTheme="minorEastAsia" w:hAnsiTheme="minorEastAsia" w:eastAsiaTheme="minorEastAsia"/>
          <w:spacing w:val="-10"/>
          <w:sz w:val="32"/>
          <w:szCs w:val="32"/>
          <w:lang w:eastAsia="zh-CN"/>
        </w:rPr>
        <w:t>要原因：</w:t>
      </w:r>
      <w:r>
        <w:rPr>
          <w:rFonts w:hint="eastAsia" w:cs="Times New Roman" w:asciiTheme="minorEastAsia" w:hAnsiTheme="minorEastAsia" w:eastAsiaTheme="minorEastAsia"/>
          <w:spacing w:val="-68"/>
          <w:sz w:val="32"/>
          <w:szCs w:val="32"/>
          <w:lang w:eastAsia="zh-CN"/>
        </w:rPr>
        <w:t xml:space="preserve">在 职 人员 </w:t>
      </w:r>
      <w:r>
        <w:rPr>
          <w:rFonts w:hint="eastAsia" w:cs="Times New Roman" w:asciiTheme="minorEastAsia" w:hAnsiTheme="minorEastAsia" w:eastAsiaTheme="minorEastAsia"/>
          <w:spacing w:val="-10"/>
          <w:sz w:val="32"/>
          <w:szCs w:val="32"/>
          <w:lang w:eastAsia="zh-CN"/>
        </w:rPr>
        <w:t>薪级工资晋升、社保、医保、住房公积金等收支。</w:t>
      </w:r>
    </w:p>
    <w:p>
      <w:pPr>
        <w:spacing w:before="248" w:line="360" w:lineRule="auto"/>
        <w:ind w:left="36" w:right="113" w:firstLine="634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 w:eastAsiaTheme="minorEastAsia"/>
          <w:snapToGrid/>
          <w:sz w:val="32"/>
          <w:szCs w:val="32"/>
          <w:lang w:eastAsia="zh-CN"/>
        </w:rPr>
        <w:drawing>
          <wp:inline distT="0" distB="0" distL="0" distR="0">
            <wp:extent cx="4523740" cy="2451735"/>
            <wp:effectExtent l="0" t="0" r="10160" b="5715"/>
            <wp:docPr id="1962276503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>
      <w:pPr>
        <w:spacing w:before="248" w:line="360" w:lineRule="auto"/>
        <w:ind w:left="36" w:right="113" w:firstLine="634"/>
        <w:rPr>
          <w:rFonts w:hint="eastAsia" w:cs="Times New Roman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8"/>
          <w:sz w:val="32"/>
          <w:szCs w:val="32"/>
          <w:lang w:eastAsia="zh-CN"/>
        </w:rPr>
        <w:t>二、收入决算情况说明</w:t>
      </w:r>
    </w:p>
    <w:p>
      <w:pPr>
        <w:spacing w:before="248" w:line="360" w:lineRule="auto"/>
        <w:ind w:left="36" w:right="113" w:firstLine="634"/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本年收入合计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72.79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元，其中：财政拨款收入</w:t>
      </w:r>
      <w:r>
        <w:rPr>
          <w:rFonts w:hint="eastAsia" w:cs="Times New Roman" w:asciiTheme="minorEastAsia" w:hAnsiTheme="minorEastAsia" w:eastAsiaTheme="minorEastAsia"/>
          <w:spacing w:val="24"/>
          <w:sz w:val="32"/>
          <w:szCs w:val="32"/>
          <w:lang w:eastAsia="zh-CN"/>
        </w:rPr>
        <w:t>72.79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</w:t>
      </w:r>
      <w:r>
        <w:rPr>
          <w:rFonts w:cs="Times New Roman" w:asciiTheme="minorEastAsia" w:hAnsiTheme="minorEastAsia" w:eastAsiaTheme="minorEastAsia"/>
          <w:spacing w:val="-86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比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上年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增加15.48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提高27.01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%。主</w:t>
      </w:r>
      <w:r>
        <w:rPr>
          <w:rFonts w:cs="Times New Roman" w:asciiTheme="minorEastAsia" w:hAnsiTheme="minorEastAsia" w:eastAsiaTheme="minorEastAsia"/>
          <w:spacing w:val="-10"/>
          <w:sz w:val="32"/>
          <w:szCs w:val="32"/>
          <w:lang w:eastAsia="zh-CN"/>
        </w:rPr>
        <w:t>要原因：</w:t>
      </w:r>
      <w:r>
        <w:rPr>
          <w:rFonts w:hint="eastAsia" w:cs="Times New Roman" w:asciiTheme="minorEastAsia" w:hAnsiTheme="minorEastAsia" w:eastAsiaTheme="minorEastAsia"/>
          <w:spacing w:val="-68"/>
          <w:sz w:val="32"/>
          <w:szCs w:val="32"/>
          <w:lang w:eastAsia="zh-CN"/>
        </w:rPr>
        <w:t xml:space="preserve">在 职 人员 </w:t>
      </w:r>
      <w:r>
        <w:rPr>
          <w:rFonts w:hint="eastAsia" w:cs="Times New Roman" w:asciiTheme="minorEastAsia" w:hAnsiTheme="minorEastAsia" w:eastAsiaTheme="minorEastAsia"/>
          <w:spacing w:val="-10"/>
          <w:sz w:val="32"/>
          <w:szCs w:val="32"/>
          <w:lang w:eastAsia="zh-CN"/>
        </w:rPr>
        <w:t>薪级工资晋升、社保、医保、住房公积金等收入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；上</w:t>
      </w:r>
      <w:r>
        <w:rPr>
          <w:rFonts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级补助收入</w:t>
      </w:r>
      <w:r>
        <w:rPr>
          <w:rFonts w:hint="eastAsia" w:cs="Times New Roman" w:asciiTheme="minorEastAsia" w:hAnsiTheme="minorEastAsia" w:eastAsiaTheme="minorEastAsia"/>
          <w:spacing w:val="44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万元，比上年增加（减少）万元，增长（下降）</w:t>
      </w:r>
      <w:r>
        <w:rPr>
          <w:rFonts w:hint="eastAsia"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%</w:t>
      </w:r>
      <w:r>
        <w:rPr>
          <w:rFonts w:hint="eastAsia"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，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主要是</w:t>
      </w:r>
      <w:r>
        <w:rPr>
          <w:rFonts w:cs="Times New Roman" w:asciiTheme="minorEastAsia" w:hAnsiTheme="minorEastAsia" w:eastAsiaTheme="minorEastAsia"/>
          <w:spacing w:val="-101"/>
          <w:sz w:val="32"/>
          <w:szCs w:val="32"/>
          <w:lang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  <w:t>没有增减变化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；事业收入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</w:t>
      </w:r>
      <w:r>
        <w:rPr>
          <w:rFonts w:cs="Times New Roman" w:asciiTheme="minorEastAsia" w:hAnsiTheme="minorEastAsia" w:eastAsiaTheme="minorEastAsia"/>
          <w:spacing w:val="-83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比上年增加（减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>少）</w:t>
      </w:r>
      <w:r>
        <w:rPr>
          <w:rFonts w:hint="eastAsia" w:cs="Times New Roman" w:asciiTheme="minorEastAsia" w:hAnsiTheme="minorEastAsia" w:eastAsiaTheme="minorEastAsia"/>
          <w:spacing w:val="3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>万元，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增长（下降）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 xml:space="preserve"> %</w:t>
      </w:r>
      <w:r>
        <w:rPr>
          <w:rFonts w:hint="eastAsia"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，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主要是</w:t>
      </w:r>
      <w:r>
        <w:rPr>
          <w:rFonts w:cs="Times New Roman" w:asciiTheme="minorEastAsia" w:hAnsiTheme="minorEastAsia" w:eastAsiaTheme="minorEastAsia"/>
          <w:spacing w:val="-101"/>
          <w:sz w:val="32"/>
          <w:szCs w:val="32"/>
          <w:lang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  <w:t>没有增减变化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；经营收入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</w:t>
      </w:r>
      <w:r>
        <w:rPr>
          <w:rFonts w:cs="Times New Roman" w:asciiTheme="minorEastAsia" w:hAnsiTheme="minorEastAsia" w:eastAsiaTheme="minorEastAsia"/>
          <w:spacing w:val="-82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比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>上年增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加（减少）</w:t>
      </w:r>
      <w:r>
        <w:rPr>
          <w:rFonts w:hint="eastAsia" w:cs="Times New Roman" w:asciiTheme="minorEastAsia" w:hAnsiTheme="minorEastAsia" w:eastAsiaTheme="minorEastAsia"/>
          <w:spacing w:val="7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万元，增长（下降）</w:t>
      </w:r>
      <w:r>
        <w:rPr>
          <w:rFonts w:hint="eastAsia" w:cs="Times New Roman" w:asciiTheme="minorEastAsia" w:hAnsiTheme="minorEastAsia" w:eastAsiaTheme="minorEastAsia"/>
          <w:spacing w:val="7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 xml:space="preserve"> %</w:t>
      </w:r>
      <w:r>
        <w:rPr>
          <w:rFonts w:hint="eastAsia"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，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主要是</w:t>
      </w:r>
      <w:r>
        <w:rPr>
          <w:rFonts w:cs="Times New Roman" w:asciiTheme="minorEastAsia" w:hAnsiTheme="minorEastAsia" w:eastAsiaTheme="minorEastAsia"/>
          <w:spacing w:val="-101"/>
          <w:sz w:val="32"/>
          <w:szCs w:val="32"/>
          <w:lang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  <w:t>没有增减变化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；附属单位</w:t>
      </w:r>
      <w:r>
        <w:rPr>
          <w:rFonts w:cs="Times New Roman" w:asciiTheme="minorEastAsia" w:hAnsiTheme="minorEastAsia" w:eastAsiaTheme="minorEastAsia"/>
          <w:spacing w:val="-9"/>
          <w:sz w:val="32"/>
          <w:szCs w:val="32"/>
          <w:lang w:eastAsia="zh-CN"/>
        </w:rPr>
        <w:t>上缴收入</w:t>
      </w:r>
      <w:r>
        <w:rPr>
          <w:rFonts w:hint="eastAsia" w:cs="Times New Roman" w:asciiTheme="minorEastAsia" w:hAnsiTheme="minorEastAsia" w:eastAsiaTheme="minorEastAsia"/>
          <w:spacing w:val="-9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-9"/>
          <w:sz w:val="32"/>
          <w:szCs w:val="32"/>
          <w:lang w:eastAsia="zh-CN"/>
        </w:rPr>
        <w:t>万元，比上年增加（减少）</w:t>
      </w:r>
      <w:r>
        <w:rPr>
          <w:rFonts w:hint="eastAsia" w:cs="Times New Roman" w:asciiTheme="minorEastAsia" w:hAnsiTheme="minorEastAsia" w:eastAsiaTheme="minorEastAsia"/>
          <w:spacing w:val="-9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-9"/>
          <w:sz w:val="32"/>
          <w:szCs w:val="32"/>
          <w:lang w:eastAsia="zh-CN"/>
        </w:rPr>
        <w:t>万元，增长（下降）</w:t>
      </w:r>
      <w:r>
        <w:rPr>
          <w:rFonts w:hint="eastAsia" w:cs="Times New Roman" w:asciiTheme="minorEastAsia" w:hAnsiTheme="minorEastAsia" w:eastAsiaTheme="minorEastAsia"/>
          <w:spacing w:val="-9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-37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9"/>
          <w:sz w:val="32"/>
          <w:szCs w:val="32"/>
          <w:lang w:eastAsia="zh-CN"/>
        </w:rPr>
        <w:t>%</w:t>
      </w:r>
      <w:r>
        <w:rPr>
          <w:rFonts w:hint="eastAsia"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，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主要是</w:t>
      </w:r>
      <w:r>
        <w:rPr>
          <w:rFonts w:cs="Times New Roman" w:asciiTheme="minorEastAsia" w:hAnsiTheme="minorEastAsia" w:eastAsiaTheme="minorEastAsia"/>
          <w:spacing w:val="-101"/>
          <w:sz w:val="32"/>
          <w:szCs w:val="32"/>
          <w:lang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  <w:t>没有增减变化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；其他收入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</w:t>
      </w:r>
      <w:r>
        <w:rPr>
          <w:rFonts w:cs="Times New Roman" w:asciiTheme="minorEastAsia" w:hAnsiTheme="minorEastAsia" w:eastAsiaTheme="minorEastAsia"/>
          <w:spacing w:val="-83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比上年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增加（减少）</w:t>
      </w:r>
      <w:r>
        <w:rPr>
          <w:rFonts w:hint="eastAsia" w:cs="Times New Roman" w:asciiTheme="minorEastAsia" w:hAnsiTheme="minorEastAsia" w:eastAsiaTheme="minorEastAsia"/>
          <w:spacing w:val="3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>万元，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增长0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%，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主要是</w:t>
      </w:r>
      <w:r>
        <w:rPr>
          <w:rFonts w:cs="Times New Roman" w:asciiTheme="minorEastAsia" w:hAnsiTheme="minorEastAsia" w:eastAsiaTheme="minorEastAsia"/>
          <w:spacing w:val="-101"/>
          <w:sz w:val="32"/>
          <w:szCs w:val="32"/>
          <w:lang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  <w:t>没有增减变化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。</w:t>
      </w:r>
    </w:p>
    <w:p>
      <w:pPr>
        <w:spacing w:before="248" w:line="360" w:lineRule="auto"/>
        <w:ind w:left="36" w:right="113" w:firstLine="634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 w:eastAsiaTheme="minorEastAsia"/>
          <w:snapToGrid/>
          <w:sz w:val="32"/>
          <w:szCs w:val="32"/>
          <w:lang w:eastAsia="zh-CN"/>
        </w:rPr>
        <w:drawing>
          <wp:inline distT="0" distB="0" distL="0" distR="0">
            <wp:extent cx="4728845" cy="2273935"/>
            <wp:effectExtent l="0" t="0" r="14605" b="12065"/>
            <wp:docPr id="1773712918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>
      <w:pPr>
        <w:spacing w:before="158" w:line="360" w:lineRule="auto"/>
        <w:ind w:firstLine="675" w:firstLineChars="200"/>
        <w:rPr>
          <w:rFonts w:hint="eastAsia" w:cs="Times New Roman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8"/>
          <w:sz w:val="32"/>
          <w:szCs w:val="32"/>
          <w:lang w:eastAsia="zh-CN"/>
        </w:rPr>
        <w:t>三、支出决算情况说明</w:t>
      </w:r>
    </w:p>
    <w:p>
      <w:pPr>
        <w:spacing w:before="251" w:line="360" w:lineRule="auto"/>
        <w:ind w:left="21" w:firstLine="645"/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本年支出合计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72.79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万元，其中：基本支出</w:t>
      </w:r>
      <w:r>
        <w:rPr>
          <w:rFonts w:hint="eastAsia" w:cs="Times New Roman" w:asciiTheme="minorEastAsia" w:hAnsiTheme="minorEastAsia" w:eastAsiaTheme="minorEastAsia"/>
          <w:spacing w:val="24"/>
          <w:sz w:val="32"/>
          <w:szCs w:val="32"/>
          <w:lang w:eastAsia="zh-CN"/>
        </w:rPr>
        <w:t>72.79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</w:t>
      </w:r>
      <w:r>
        <w:rPr>
          <w:rFonts w:cs="Times New Roman" w:asciiTheme="minorEastAsia" w:hAnsiTheme="minorEastAsia" w:eastAsiaTheme="minorEastAsia"/>
          <w:spacing w:val="-86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比上年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增加15.48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提高27.01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%。主</w:t>
      </w:r>
      <w:r>
        <w:rPr>
          <w:rFonts w:cs="Times New Roman" w:asciiTheme="minorEastAsia" w:hAnsiTheme="minorEastAsia" w:eastAsiaTheme="minorEastAsia"/>
          <w:spacing w:val="-10"/>
          <w:sz w:val="32"/>
          <w:szCs w:val="32"/>
          <w:lang w:eastAsia="zh-CN"/>
        </w:rPr>
        <w:t>要原因：</w:t>
      </w:r>
      <w:r>
        <w:rPr>
          <w:rFonts w:hint="eastAsia" w:cs="Times New Roman" w:asciiTheme="minorEastAsia" w:hAnsiTheme="minorEastAsia" w:eastAsiaTheme="minorEastAsia"/>
          <w:spacing w:val="-68"/>
          <w:sz w:val="32"/>
          <w:szCs w:val="32"/>
          <w:lang w:eastAsia="zh-CN"/>
        </w:rPr>
        <w:t xml:space="preserve">在 职 人员 </w:t>
      </w:r>
      <w:r>
        <w:rPr>
          <w:rFonts w:hint="eastAsia" w:cs="Times New Roman" w:asciiTheme="minorEastAsia" w:hAnsiTheme="minorEastAsia" w:eastAsiaTheme="minorEastAsia"/>
          <w:spacing w:val="-10"/>
          <w:sz w:val="32"/>
          <w:szCs w:val="32"/>
          <w:lang w:eastAsia="zh-CN"/>
        </w:rPr>
        <w:t>薪级工资晋升、社保、医保、住房公积金等支出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；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项目支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>出</w:t>
      </w:r>
      <w:r>
        <w:rPr>
          <w:rFonts w:hint="eastAsia" w:cs="Times New Roman" w:asciiTheme="minorEastAsia" w:hAnsiTheme="minorEastAsia" w:eastAsiaTheme="minorEastAsia"/>
          <w:spacing w:val="47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>万元，比上年增加（减少）</w:t>
      </w:r>
      <w:r>
        <w:rPr>
          <w:rFonts w:hint="eastAsia" w:cs="Times New Roman" w:asciiTheme="minorEastAsia" w:hAnsiTheme="minorEastAsia" w:eastAsiaTheme="minorEastAsia"/>
          <w:spacing w:val="3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-87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>万元，增长（</w:t>
      </w:r>
      <w:r>
        <w:rPr>
          <w:rFonts w:cs="Times New Roman" w:asciiTheme="minorEastAsia" w:hAnsiTheme="minorEastAsia" w:eastAsiaTheme="minorEastAsia"/>
          <w:spacing w:val="-78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>下降）</w:t>
      </w:r>
      <w:r>
        <w:rPr>
          <w:rFonts w:hint="eastAsia" w:cs="Times New Roman" w:asciiTheme="minorEastAsia" w:hAnsiTheme="minorEastAsia" w:eastAsiaTheme="minorEastAsia"/>
          <w:spacing w:val="3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52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>%</w:t>
      </w:r>
      <w:r>
        <w:rPr>
          <w:rFonts w:hint="eastAsia"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，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主要是</w:t>
      </w:r>
      <w:r>
        <w:rPr>
          <w:rFonts w:cs="Times New Roman" w:asciiTheme="minorEastAsia" w:hAnsiTheme="minorEastAsia" w:eastAsiaTheme="minorEastAsia"/>
          <w:spacing w:val="-101"/>
          <w:sz w:val="32"/>
          <w:szCs w:val="32"/>
          <w:lang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  <w:t>没有增减变化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 xml:space="preserve">；上缴上级支出 </w:t>
      </w:r>
      <w:r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 xml:space="preserve"> 万元，比上年增加（减少）</w:t>
      </w:r>
      <w:r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万元，</w:t>
      </w:r>
      <w:r>
        <w:rPr>
          <w:rFonts w:cs="Times New Roman" w:asciiTheme="minorEastAsia" w:hAnsiTheme="minorEastAsia" w:eastAsiaTheme="minorEastAsia"/>
          <w:spacing w:val="2"/>
          <w:sz w:val="32"/>
          <w:szCs w:val="32"/>
          <w:lang w:eastAsia="zh-CN"/>
        </w:rPr>
        <w:t>增长（</w:t>
      </w:r>
      <w:r>
        <w:rPr>
          <w:rFonts w:cs="Times New Roman" w:asciiTheme="minorEastAsia" w:hAnsiTheme="minorEastAsia" w:eastAsiaTheme="minorEastAsia"/>
          <w:spacing w:val="-78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2"/>
          <w:sz w:val="32"/>
          <w:szCs w:val="32"/>
          <w:lang w:eastAsia="zh-CN"/>
        </w:rPr>
        <w:t>下降）</w:t>
      </w:r>
      <w:r>
        <w:rPr>
          <w:rFonts w:hint="eastAsia" w:cs="Times New Roman" w:asciiTheme="minorEastAsia" w:hAnsiTheme="minorEastAsia" w:eastAsiaTheme="minorEastAsia"/>
          <w:spacing w:val="2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52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2"/>
          <w:sz w:val="32"/>
          <w:szCs w:val="32"/>
          <w:lang w:eastAsia="zh-CN"/>
        </w:rPr>
        <w:t>%</w:t>
      </w:r>
      <w:r>
        <w:rPr>
          <w:rFonts w:hint="eastAsia"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，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主要是</w:t>
      </w:r>
      <w:r>
        <w:rPr>
          <w:rFonts w:cs="Times New Roman" w:asciiTheme="minorEastAsia" w:hAnsiTheme="minorEastAsia" w:eastAsiaTheme="minorEastAsia"/>
          <w:spacing w:val="-101"/>
          <w:sz w:val="32"/>
          <w:szCs w:val="32"/>
          <w:lang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  <w:t>没有增减变化</w:t>
      </w:r>
      <w:r>
        <w:rPr>
          <w:rFonts w:cs="Times New Roman" w:asciiTheme="minorEastAsia" w:hAnsiTheme="minorEastAsia" w:eastAsiaTheme="minorEastAsia"/>
          <w:spacing w:val="-118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2"/>
          <w:sz w:val="32"/>
          <w:szCs w:val="32"/>
          <w:lang w:eastAsia="zh-CN"/>
        </w:rPr>
        <w:t>；经营支出</w:t>
      </w:r>
      <w:r>
        <w:rPr>
          <w:rFonts w:hint="eastAsia" w:cs="Times New Roman" w:asciiTheme="minorEastAsia" w:hAnsiTheme="minorEastAsia" w:eastAsiaTheme="minorEastAsia"/>
          <w:spacing w:val="2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46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2"/>
          <w:sz w:val="32"/>
          <w:szCs w:val="32"/>
          <w:lang w:eastAsia="zh-CN"/>
        </w:rPr>
        <w:t>万元，</w:t>
      </w:r>
      <w:r>
        <w:rPr>
          <w:rFonts w:cs="Times New Roman" w:asciiTheme="minorEastAsia" w:hAnsiTheme="minorEastAsia" w:eastAsiaTheme="minorEastAsia"/>
          <w:spacing w:val="-77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1"/>
          <w:sz w:val="32"/>
          <w:szCs w:val="32"/>
          <w:lang w:eastAsia="zh-CN"/>
        </w:rPr>
        <w:t>比上年增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加（减少）</w:t>
      </w:r>
      <w:r>
        <w:rPr>
          <w:rFonts w:hint="eastAsia" w:cs="Times New Roman" w:asciiTheme="minorEastAsia" w:hAnsiTheme="minorEastAsia" w:eastAsiaTheme="minorEastAsia"/>
          <w:spacing w:val="7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万元，增长（下降）</w:t>
      </w:r>
      <w:r>
        <w:rPr>
          <w:rFonts w:hint="eastAsia" w:cs="Times New Roman" w:asciiTheme="minorEastAsia" w:hAnsiTheme="minorEastAsia" w:eastAsiaTheme="minorEastAsia"/>
          <w:spacing w:val="7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 xml:space="preserve"> %</w:t>
      </w:r>
      <w:r>
        <w:rPr>
          <w:rFonts w:hint="eastAsia"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，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主要是</w:t>
      </w:r>
      <w:r>
        <w:rPr>
          <w:rFonts w:cs="Times New Roman" w:asciiTheme="minorEastAsia" w:hAnsiTheme="minorEastAsia" w:eastAsiaTheme="minorEastAsia"/>
          <w:spacing w:val="-101"/>
          <w:sz w:val="32"/>
          <w:szCs w:val="32"/>
          <w:lang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  <w:t>没有增减变化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；对附属单</w:t>
      </w:r>
      <w:r>
        <w:rPr>
          <w:rFonts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位补助支出</w:t>
      </w:r>
      <w:r>
        <w:rPr>
          <w:rFonts w:hint="eastAsia" w:cs="Times New Roman" w:asciiTheme="minorEastAsia" w:hAnsiTheme="minorEastAsia" w:eastAsiaTheme="minorEastAsia"/>
          <w:spacing w:val="45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万元，比上年增加（减少）</w:t>
      </w:r>
      <w:r>
        <w:rPr>
          <w:rFonts w:hint="eastAsia"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万元，增长（下降）</w:t>
      </w:r>
      <w:r>
        <w:rPr>
          <w:rFonts w:hint="eastAsia"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0</w:t>
      </w:r>
      <w:r>
        <w:rPr>
          <w:rFonts w:cs="Times New Roman" w:asciiTheme="minorEastAsia" w:hAnsiTheme="minorEastAsia" w:eastAsiaTheme="minorEastAsia"/>
          <w:spacing w:val="-77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15"/>
          <w:sz w:val="32"/>
          <w:szCs w:val="32"/>
          <w:lang w:eastAsia="zh-CN"/>
        </w:rPr>
        <w:t>%，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主要是</w:t>
      </w:r>
      <w:r>
        <w:rPr>
          <w:rFonts w:cs="Times New Roman" w:asciiTheme="minorEastAsia" w:hAnsiTheme="minorEastAsia" w:eastAsiaTheme="minorEastAsia"/>
          <w:spacing w:val="-101"/>
          <w:sz w:val="32"/>
          <w:szCs w:val="32"/>
          <w:lang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pacing w:val="-2"/>
          <w:sz w:val="32"/>
          <w:szCs w:val="32"/>
          <w:lang w:eastAsia="zh-CN"/>
        </w:rPr>
        <w:t>没有增减变化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。</w:t>
      </w:r>
    </w:p>
    <w:p>
      <w:pPr>
        <w:spacing w:before="251" w:line="360" w:lineRule="auto"/>
        <w:ind w:left="21" w:firstLine="645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 w:eastAsiaTheme="minorEastAsia"/>
          <w:snapToGrid/>
          <w:sz w:val="32"/>
          <w:szCs w:val="32"/>
          <w:lang w:eastAsia="zh-CN"/>
        </w:rPr>
        <w:drawing>
          <wp:inline distT="0" distB="0" distL="0" distR="0">
            <wp:extent cx="4660265" cy="2273935"/>
            <wp:effectExtent l="0" t="0" r="6985" b="12065"/>
            <wp:docPr id="1966065406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>
      <w:pPr>
        <w:spacing w:before="47" w:line="360" w:lineRule="auto"/>
        <w:ind w:right="86" w:firstLine="675" w:firstLineChars="200"/>
        <w:rPr>
          <w:rFonts w:hint="eastAsia" w:cs="Times New Roman" w:asciiTheme="minorEastAsia" w:hAnsiTheme="minorEastAsia" w:eastAsiaTheme="minorEastAsia"/>
          <w:b/>
          <w:bCs/>
          <w:spacing w:val="8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8"/>
          <w:sz w:val="32"/>
          <w:szCs w:val="32"/>
          <w:lang w:eastAsia="zh-CN"/>
        </w:rPr>
        <w:t>四、财政拨款收入支出决算总体情况说明</w:t>
      </w:r>
    </w:p>
    <w:p>
      <w:pPr>
        <w:spacing w:before="47" w:line="360" w:lineRule="auto"/>
        <w:ind w:right="86" w:firstLine="672" w:firstLineChars="200"/>
        <w:rPr>
          <w:rFonts w:hint="eastAsia" w:cs="Times New Roman" w:asciiTheme="minorEastAsia" w:hAnsiTheme="minorEastAsia" w:eastAsiaTheme="minorEastAsia"/>
          <w:spacing w:val="-10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 w:eastAsiaTheme="minorEastAsia"/>
          <w:spacing w:val="8"/>
          <w:sz w:val="32"/>
          <w:szCs w:val="32"/>
          <w:lang w:eastAsia="zh-CN"/>
        </w:rPr>
        <w:t>2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023</w:t>
      </w:r>
      <w:r>
        <w:rPr>
          <w:rFonts w:cs="Times New Roman" w:asciiTheme="minorEastAsia" w:hAnsiTheme="minorEastAsia" w:eastAsiaTheme="minorEastAsia"/>
          <w:spacing w:val="-37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年度财政拨款收、支总计均为</w:t>
      </w:r>
      <w:r>
        <w:rPr>
          <w:rFonts w:hint="eastAsia" w:cs="Times New Roman" w:asciiTheme="minorEastAsia" w:hAnsiTheme="minorEastAsia" w:eastAsiaTheme="minorEastAsia"/>
          <w:spacing w:val="24"/>
          <w:sz w:val="32"/>
          <w:szCs w:val="32"/>
          <w:lang w:eastAsia="zh-CN"/>
        </w:rPr>
        <w:t>72.79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万元，与</w:t>
      </w:r>
      <w:r>
        <w:rPr>
          <w:rFonts w:cs="Times New Roman" w:asciiTheme="minorEastAsia" w:hAnsiTheme="minorEastAsia" w:eastAsiaTheme="minorEastAsia"/>
          <w:spacing w:val="-33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2022</w:t>
      </w:r>
      <w:r>
        <w:rPr>
          <w:rFonts w:cs="Times New Roman" w:asciiTheme="minorEastAsia" w:hAnsiTheme="minorEastAsia" w:eastAsiaTheme="minorEastAsia"/>
          <w:spacing w:val="-37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年</w:t>
      </w:r>
      <w:r>
        <w:rPr>
          <w:rFonts w:cs="Times New Roman" w:asciiTheme="minorEastAsia" w:hAnsiTheme="minorEastAsia" w:eastAsiaTheme="minorEastAsia"/>
          <w:spacing w:val="-9"/>
          <w:sz w:val="32"/>
          <w:szCs w:val="32"/>
          <w:lang w:eastAsia="zh-CN"/>
        </w:rPr>
        <w:t>相比，财政拨款收、支总计各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增加15.48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提高27.01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%。主</w:t>
      </w:r>
      <w:r>
        <w:rPr>
          <w:rFonts w:cs="Times New Roman" w:asciiTheme="minorEastAsia" w:hAnsiTheme="minorEastAsia" w:eastAsiaTheme="minorEastAsia"/>
          <w:spacing w:val="-10"/>
          <w:sz w:val="32"/>
          <w:szCs w:val="32"/>
          <w:lang w:eastAsia="zh-CN"/>
        </w:rPr>
        <w:t>要原因：</w:t>
      </w:r>
      <w:r>
        <w:rPr>
          <w:rFonts w:hint="eastAsia" w:cs="Times New Roman" w:asciiTheme="minorEastAsia" w:hAnsiTheme="minorEastAsia" w:eastAsiaTheme="minorEastAsia"/>
          <w:spacing w:val="-68"/>
          <w:sz w:val="32"/>
          <w:szCs w:val="32"/>
          <w:lang w:eastAsia="zh-CN"/>
        </w:rPr>
        <w:t xml:space="preserve">在 职 人员 </w:t>
      </w:r>
      <w:r>
        <w:rPr>
          <w:rFonts w:hint="eastAsia" w:cs="Times New Roman" w:asciiTheme="minorEastAsia" w:hAnsiTheme="minorEastAsia" w:eastAsiaTheme="minorEastAsia"/>
          <w:spacing w:val="-10"/>
          <w:sz w:val="32"/>
          <w:szCs w:val="32"/>
          <w:lang w:eastAsia="zh-CN"/>
        </w:rPr>
        <w:t>薪级工资晋升、社保、医保、住房公积金等收支。</w:t>
      </w:r>
    </w:p>
    <w:p>
      <w:pPr>
        <w:spacing w:before="47" w:line="360" w:lineRule="auto"/>
        <w:ind w:right="86" w:firstLine="640" w:firstLineChars="200"/>
        <w:rPr>
          <w:rFonts w:hint="eastAsia" w:cs="Times New Roman" w:asciiTheme="minorEastAsia" w:hAnsiTheme="minorEastAsia" w:eastAsiaTheme="minorEastAsia"/>
          <w:b/>
          <w:bCs/>
          <w:spacing w:val="8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 w:eastAsiaTheme="minorEastAsia"/>
          <w:snapToGrid/>
          <w:sz w:val="32"/>
          <w:szCs w:val="32"/>
          <w:lang w:eastAsia="zh-CN"/>
        </w:rPr>
        <w:drawing>
          <wp:inline distT="0" distB="0" distL="0" distR="0">
            <wp:extent cx="4639945" cy="2401570"/>
            <wp:effectExtent l="0" t="0" r="8255" b="17780"/>
            <wp:docPr id="227858399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>
      <w:pPr>
        <w:spacing w:before="101" w:line="360" w:lineRule="auto"/>
        <w:ind w:firstLine="675" w:firstLineChars="200"/>
        <w:rPr>
          <w:rFonts w:hint="eastAsia" w:cs="Times New Roman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8"/>
          <w:sz w:val="32"/>
          <w:szCs w:val="32"/>
          <w:lang w:eastAsia="zh-CN"/>
        </w:rPr>
        <w:t>五、一般公共预算财政拨款支出决算情况说明</w:t>
      </w:r>
    </w:p>
    <w:p>
      <w:pPr>
        <w:spacing w:before="248" w:line="360" w:lineRule="auto"/>
        <w:ind w:firstLine="479" w:firstLineChars="150"/>
        <w:outlineLvl w:val="2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-1"/>
          <w:sz w:val="32"/>
          <w:szCs w:val="32"/>
          <w:lang w:eastAsia="zh-CN"/>
        </w:rPr>
        <w:t>(一)一般公共预算财政拨款支出决算总体情况</w:t>
      </w:r>
    </w:p>
    <w:p>
      <w:pPr>
        <w:spacing w:before="249" w:line="360" w:lineRule="auto"/>
        <w:ind w:firstLine="672" w:firstLineChars="200"/>
        <w:rPr>
          <w:rFonts w:hint="eastAsia" w:cs="Times New Roman" w:asciiTheme="minorEastAsia" w:hAnsiTheme="minorEastAsia" w:eastAsiaTheme="minorEastAsia"/>
          <w:spacing w:val="-10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 w:eastAsiaTheme="minorEastAsia"/>
          <w:spacing w:val="8"/>
          <w:sz w:val="32"/>
          <w:szCs w:val="32"/>
          <w:lang w:eastAsia="zh-CN"/>
        </w:rPr>
        <w:t>2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023</w:t>
      </w:r>
      <w:r>
        <w:rPr>
          <w:rFonts w:cs="Times New Roman" w:asciiTheme="minorEastAsia" w:hAnsiTheme="minorEastAsia" w:eastAsiaTheme="minorEastAsia"/>
          <w:spacing w:val="-37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年度财政拨款收、支总计均为</w:t>
      </w:r>
      <w:r>
        <w:rPr>
          <w:rFonts w:hint="eastAsia" w:cs="Times New Roman" w:asciiTheme="minorEastAsia" w:hAnsiTheme="minorEastAsia" w:eastAsiaTheme="minorEastAsia"/>
          <w:spacing w:val="24"/>
          <w:sz w:val="32"/>
          <w:szCs w:val="32"/>
          <w:lang w:eastAsia="zh-CN"/>
        </w:rPr>
        <w:t>72.79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万元，与</w:t>
      </w:r>
      <w:r>
        <w:rPr>
          <w:rFonts w:cs="Times New Roman" w:asciiTheme="minorEastAsia" w:hAnsiTheme="minorEastAsia" w:eastAsiaTheme="minorEastAsia"/>
          <w:spacing w:val="-33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2022</w:t>
      </w:r>
      <w:r>
        <w:rPr>
          <w:rFonts w:cs="Times New Roman" w:asciiTheme="minorEastAsia" w:hAnsiTheme="minorEastAsia" w:eastAsiaTheme="minorEastAsia"/>
          <w:spacing w:val="-37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年</w:t>
      </w:r>
      <w:r>
        <w:rPr>
          <w:rFonts w:cs="Times New Roman" w:asciiTheme="minorEastAsia" w:hAnsiTheme="minorEastAsia" w:eastAsiaTheme="minorEastAsia"/>
          <w:spacing w:val="-9"/>
          <w:sz w:val="32"/>
          <w:szCs w:val="32"/>
          <w:lang w:eastAsia="zh-CN"/>
        </w:rPr>
        <w:t>相比，财政拨款收、支总计各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增加15.48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提高27.01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%。主</w:t>
      </w:r>
      <w:r>
        <w:rPr>
          <w:rFonts w:cs="Times New Roman" w:asciiTheme="minorEastAsia" w:hAnsiTheme="minorEastAsia" w:eastAsiaTheme="minorEastAsia"/>
          <w:spacing w:val="-10"/>
          <w:sz w:val="32"/>
          <w:szCs w:val="32"/>
          <w:lang w:eastAsia="zh-CN"/>
        </w:rPr>
        <w:t>要原因：</w:t>
      </w:r>
      <w:r>
        <w:rPr>
          <w:rFonts w:hint="eastAsia" w:cs="Times New Roman" w:asciiTheme="minorEastAsia" w:hAnsiTheme="minorEastAsia" w:eastAsiaTheme="minorEastAsia"/>
          <w:spacing w:val="-68"/>
          <w:sz w:val="32"/>
          <w:szCs w:val="32"/>
          <w:lang w:eastAsia="zh-CN"/>
        </w:rPr>
        <w:t xml:space="preserve">在 职 人员 </w:t>
      </w:r>
      <w:r>
        <w:rPr>
          <w:rFonts w:hint="eastAsia" w:cs="Times New Roman" w:asciiTheme="minorEastAsia" w:hAnsiTheme="minorEastAsia" w:eastAsiaTheme="minorEastAsia"/>
          <w:spacing w:val="-10"/>
          <w:sz w:val="32"/>
          <w:szCs w:val="32"/>
          <w:lang w:eastAsia="zh-CN"/>
        </w:rPr>
        <w:t>薪级工资晋升、社保、医保、住房公积金等收支。</w:t>
      </w:r>
    </w:p>
    <w:p>
      <w:pPr>
        <w:spacing w:before="249" w:line="360" w:lineRule="auto"/>
        <w:ind w:firstLine="640" w:firstLineChars="200"/>
        <w:rPr>
          <w:rFonts w:hint="eastAsia" w:cs="Times New Roman" w:asciiTheme="minorEastAsia" w:hAnsiTheme="minorEastAsia" w:eastAsiaTheme="minorEastAsia"/>
          <w:spacing w:val="-10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 w:eastAsiaTheme="minorEastAsia"/>
          <w:snapToGrid/>
          <w:sz w:val="32"/>
          <w:szCs w:val="32"/>
          <w:lang w:eastAsia="zh-CN"/>
        </w:rPr>
        <w:drawing>
          <wp:inline distT="0" distB="0" distL="0" distR="0">
            <wp:extent cx="4639945" cy="2401570"/>
            <wp:effectExtent l="0" t="0" r="8255" b="17780"/>
            <wp:docPr id="198774310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>
      <w:pPr>
        <w:spacing w:before="249" w:line="360" w:lineRule="auto"/>
        <w:ind w:firstLine="659" w:firstLineChars="200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4"/>
          <w:sz w:val="32"/>
          <w:szCs w:val="32"/>
          <w:lang w:eastAsia="zh-CN"/>
        </w:rPr>
        <w:t>(二）</w:t>
      </w:r>
      <w:r>
        <w:rPr>
          <w:rFonts w:cs="Times New Roman" w:asciiTheme="minorEastAsia" w:hAnsiTheme="minorEastAsia" w:eastAsiaTheme="minorEastAsia"/>
          <w:spacing w:val="-80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b/>
          <w:bCs/>
          <w:spacing w:val="4"/>
          <w:sz w:val="32"/>
          <w:szCs w:val="32"/>
          <w:lang w:eastAsia="zh-CN"/>
        </w:rPr>
        <w:t>一般公共预算财政拨款支出决算结构情况</w:t>
      </w:r>
    </w:p>
    <w:p>
      <w:pPr>
        <w:spacing w:line="360" w:lineRule="auto"/>
        <w:ind w:firstLine="656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2023</w:t>
      </w:r>
      <w:r>
        <w:rPr>
          <w:rFonts w:cs="Times New Roman" w:asciiTheme="minorEastAsia" w:hAnsiTheme="minorEastAsia" w:eastAsiaTheme="minorEastAsia"/>
          <w:spacing w:val="-54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年度一般公共预算财政拨款支出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72.79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万元，主要用于</w:t>
      </w:r>
      <w:r>
        <w:rPr>
          <w:rFonts w:cs="Times New Roman" w:asciiTheme="minorEastAsia" w:hAnsiTheme="minorEastAsia" w:eastAsiaTheme="minorEastAsia"/>
          <w:spacing w:val="-6"/>
          <w:sz w:val="32"/>
          <w:szCs w:val="32"/>
          <w:lang w:eastAsia="zh-CN"/>
        </w:rPr>
        <w:t>以下方面：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教育（类）支出68.40万元，占93.96%;社会保障和就业支出0万元，占0%；卫生健康支出4.39万元，占6.03%；住房保障支出0万元，占0%。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 w:eastAsiaTheme="minorEastAsia"/>
          <w:snapToGrid/>
          <w:sz w:val="32"/>
          <w:szCs w:val="32"/>
          <w:lang w:eastAsia="zh-CN"/>
        </w:rPr>
        <w:drawing>
          <wp:inline distT="0" distB="0" distL="0" distR="0">
            <wp:extent cx="4707890" cy="2273935"/>
            <wp:effectExtent l="0" t="0" r="16510" b="12065"/>
            <wp:docPr id="819226243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>
      <w:pPr>
        <w:spacing w:before="52" w:line="360" w:lineRule="auto"/>
        <w:ind w:left="659"/>
        <w:outlineLvl w:val="2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4"/>
          <w:sz w:val="32"/>
          <w:szCs w:val="32"/>
          <w:lang w:eastAsia="zh-CN"/>
        </w:rPr>
        <w:t>（三）</w:t>
      </w:r>
      <w:r>
        <w:rPr>
          <w:rFonts w:cs="Times New Roman" w:asciiTheme="minorEastAsia" w:hAnsiTheme="minorEastAsia" w:eastAsiaTheme="minorEastAsia"/>
          <w:spacing w:val="-80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b/>
          <w:bCs/>
          <w:spacing w:val="4"/>
          <w:sz w:val="32"/>
          <w:szCs w:val="32"/>
          <w:lang w:eastAsia="zh-CN"/>
        </w:rPr>
        <w:t>一般公共预算财政拨款支出决算具体情况</w:t>
      </w:r>
    </w:p>
    <w:p>
      <w:pPr>
        <w:spacing w:before="248" w:line="360" w:lineRule="auto"/>
        <w:ind w:right="86" w:firstLine="688" w:firstLineChars="200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spacing w:val="12"/>
          <w:sz w:val="32"/>
          <w:szCs w:val="32"/>
          <w:lang w:eastAsia="zh-CN"/>
        </w:rPr>
        <w:t>2023年度一般公共预算财政拨款支出年初预算为</w:t>
      </w:r>
      <w:r>
        <w:rPr>
          <w:rFonts w:hint="eastAsia" w:cs="Times New Roman" w:asciiTheme="minorEastAsia" w:hAnsiTheme="minorEastAsia" w:eastAsiaTheme="minorEastAsia"/>
          <w:spacing w:val="1"/>
          <w:sz w:val="32"/>
          <w:szCs w:val="32"/>
          <w:lang w:eastAsia="zh-CN"/>
        </w:rPr>
        <w:t>72.79</w:t>
      </w:r>
      <w:r>
        <w:rPr>
          <w:rFonts w:cs="Times New Roman" w:asciiTheme="minorEastAsia" w:hAnsiTheme="minorEastAsia" w:eastAsiaTheme="minorEastAsia"/>
          <w:spacing w:val="12"/>
          <w:sz w:val="32"/>
          <w:szCs w:val="32"/>
          <w:lang w:eastAsia="zh-CN"/>
        </w:rPr>
        <w:t>万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元，支出决算为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72.79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 xml:space="preserve">万元，完成年初预算的  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100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%。其中：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/>
          <w:sz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lang w:eastAsia="zh-CN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 xml:space="preserve"> 教育（类）支出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年初预算为67.40万元，支出决算为68.40万元，完成年初预算的</w:t>
      </w:r>
      <w:r>
        <w:rPr>
          <w:rFonts w:asciiTheme="minorEastAsia" w:hAnsiTheme="minorEastAsia" w:eastAsiaTheme="minorEastAsia"/>
          <w:sz w:val="32"/>
          <w:szCs w:val="30"/>
          <w:lang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%。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/>
          <w:sz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lang w:eastAsia="zh-CN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 xml:space="preserve"> 社会保障和就业支出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年初预算为0万元，支出决算为0万元，完成年初预算的</w:t>
      </w:r>
      <w:r>
        <w:rPr>
          <w:rFonts w:asciiTheme="minorEastAsia" w:hAnsiTheme="minorEastAsia" w:eastAsiaTheme="minorEastAsia"/>
          <w:sz w:val="32"/>
          <w:szCs w:val="30"/>
          <w:lang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%。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/>
          <w:sz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lang w:eastAsia="zh-CN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 xml:space="preserve"> 卫生健康支出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年初预算为4.39万元，支出决算为4.39万元，完成年初预算的</w:t>
      </w:r>
      <w:r>
        <w:rPr>
          <w:rFonts w:asciiTheme="minorEastAsia" w:hAnsiTheme="minorEastAsia" w:eastAsiaTheme="minorEastAsia"/>
          <w:sz w:val="32"/>
          <w:szCs w:val="30"/>
          <w:lang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%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/>
          <w:sz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 xml:space="preserve"> 住房保障支出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年初预算为0万元，支出决算为0万元，完成年初预算的</w:t>
      </w:r>
      <w:r>
        <w:rPr>
          <w:rFonts w:asciiTheme="minorEastAsia" w:hAnsiTheme="minorEastAsia" w:eastAsiaTheme="minorEastAsia"/>
          <w:sz w:val="32"/>
          <w:szCs w:val="30"/>
          <w:lang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%</w:t>
      </w:r>
      <w:r>
        <w:rPr>
          <w:rFonts w:hint="eastAsia" w:asciiTheme="minorEastAsia" w:hAnsiTheme="minorEastAsia" w:eastAsiaTheme="minorEastAsia"/>
          <w:sz w:val="32"/>
          <w:lang w:eastAsia="zh-CN"/>
        </w:rPr>
        <w:t xml:space="preserve">    </w:t>
      </w:r>
    </w:p>
    <w:p>
      <w:pPr>
        <w:spacing w:before="101" w:line="360" w:lineRule="auto"/>
        <w:ind w:left="210" w:leftChars="100" w:firstLine="506" w:firstLineChars="150"/>
        <w:rPr>
          <w:rFonts w:ascii="Times New Roman" w:hAnsi="Times New Roman" w:eastAsia="仿宋_GB2312" w:cs="Times New Roman"/>
          <w:b/>
          <w:bCs/>
          <w:spacing w:val="8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8"/>
          <w:sz w:val="32"/>
          <w:szCs w:val="32"/>
          <w:lang w:eastAsia="zh-CN"/>
        </w:rPr>
        <w:t>六、一般公共预算财政拨款基本支出决算情况说明</w:t>
      </w:r>
    </w:p>
    <w:p>
      <w:pPr>
        <w:spacing w:before="101" w:line="360" w:lineRule="auto"/>
        <w:ind w:firstLine="688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spacing w:val="12"/>
          <w:sz w:val="32"/>
          <w:szCs w:val="32"/>
          <w:lang w:eastAsia="zh-CN"/>
        </w:rPr>
        <w:t>2023年度一般公共预算财政拨款基本支出</w:t>
      </w:r>
      <w:r>
        <w:rPr>
          <w:rFonts w:hint="eastAsia" w:cs="Times New Roman" w:asciiTheme="minorEastAsia" w:hAnsiTheme="minorEastAsia" w:eastAsiaTheme="minorEastAsia"/>
          <w:spacing w:val="33"/>
          <w:sz w:val="32"/>
          <w:szCs w:val="32"/>
          <w:lang w:eastAsia="zh-CN"/>
        </w:rPr>
        <w:t>72.79</w:t>
      </w:r>
      <w:r>
        <w:rPr>
          <w:rFonts w:cs="Times New Roman" w:asciiTheme="minorEastAsia" w:hAnsiTheme="minorEastAsia" w:eastAsiaTheme="minorEastAsia"/>
          <w:spacing w:val="12"/>
          <w:sz w:val="32"/>
          <w:szCs w:val="32"/>
          <w:lang w:eastAsia="zh-CN"/>
        </w:rPr>
        <w:t>万元，其</w:t>
      </w:r>
      <w:r>
        <w:rPr>
          <w:rFonts w:cs="Times New Roman" w:asciiTheme="minorEastAsia" w:hAnsiTheme="minorEastAsia" w:eastAsiaTheme="minorEastAsia"/>
          <w:spacing w:val="-30"/>
          <w:sz w:val="32"/>
          <w:szCs w:val="32"/>
          <w:lang w:eastAsia="zh-CN"/>
        </w:rPr>
        <w:t>中：</w:t>
      </w:r>
    </w:p>
    <w:p>
      <w:pPr>
        <w:spacing w:before="53" w:line="360" w:lineRule="auto"/>
        <w:ind w:left="29" w:right="98" w:firstLine="643"/>
        <w:jc w:val="both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人员经费</w:t>
      </w:r>
      <w:r>
        <w:rPr>
          <w:rFonts w:hint="eastAsia" w:cs="Times New Roman" w:asciiTheme="minorEastAsia" w:hAnsiTheme="minorEastAsia" w:eastAsiaTheme="minorEastAsia"/>
          <w:spacing w:val="7"/>
          <w:sz w:val="32"/>
          <w:szCs w:val="32"/>
          <w:lang w:eastAsia="zh-CN"/>
        </w:rPr>
        <w:t>61.12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万元，主要包括：基本工资、津贴补贴、奖</w:t>
      </w:r>
      <w:r>
        <w:rPr>
          <w:rFonts w:cs="Times New Roman" w:asciiTheme="minorEastAsia" w:hAnsiTheme="minorEastAsia" w:eastAsiaTheme="minorEastAsia"/>
          <w:spacing w:val="12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金、伙食补助费、绩效工资、机关事业单位基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本养老保险缴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费、职业年金缴费、职工基本医疗保险缴费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、公务员医疗补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助缴费、其他社会保障缴费、住房公积金、医疗费、</w:t>
      </w:r>
      <w:r>
        <w:rPr>
          <w:rFonts w:cs="Times New Roman" w:asciiTheme="minorEastAsia" w:hAnsiTheme="minorEastAsia" w:eastAsiaTheme="minorEastAsia"/>
          <w:spacing w:val="-54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其他工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>资福利支出、离休费、退休费、退职（役） 费</w:t>
      </w:r>
      <w:r>
        <w:rPr>
          <w:rFonts w:cs="Times New Roman" w:asciiTheme="minorEastAsia" w:hAnsiTheme="minorEastAsia" w:eastAsiaTheme="minorEastAsia"/>
          <w:spacing w:val="2"/>
          <w:sz w:val="32"/>
          <w:szCs w:val="32"/>
          <w:lang w:eastAsia="zh-CN"/>
        </w:rPr>
        <w:t>、抚恤金、生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活补助、救济费、医疗费补助、助学金、奖励金、个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人农业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生产补贴、代缴社会保险费和其他对个人和家庭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的补助。</w:t>
      </w:r>
    </w:p>
    <w:p>
      <w:pPr>
        <w:spacing w:before="254" w:line="360" w:lineRule="auto"/>
        <w:ind w:left="26" w:firstLine="641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spacing w:val="-1"/>
          <w:sz w:val="32"/>
          <w:szCs w:val="32"/>
          <w:lang w:eastAsia="zh-CN"/>
        </w:rPr>
        <w:t>公用经费</w:t>
      </w:r>
      <w:r>
        <w:rPr>
          <w:rFonts w:hint="eastAsia" w:cs="Times New Roman" w:asciiTheme="minorEastAsia" w:hAnsiTheme="minorEastAsia" w:eastAsiaTheme="minorEastAsia"/>
          <w:spacing w:val="-1"/>
          <w:sz w:val="32"/>
          <w:szCs w:val="32"/>
          <w:lang w:eastAsia="zh-CN"/>
        </w:rPr>
        <w:t>11.67</w:t>
      </w:r>
      <w:r>
        <w:rPr>
          <w:rFonts w:cs="Times New Roman" w:asciiTheme="minorEastAsia" w:hAnsiTheme="minorEastAsia" w:eastAsiaTheme="minorEastAsia"/>
          <w:spacing w:val="-1"/>
          <w:sz w:val="32"/>
          <w:szCs w:val="32"/>
          <w:lang w:eastAsia="zh-CN"/>
        </w:rPr>
        <w:t>万元，主要包括：办公费、印刷费、咨询费、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手续费、水费、电费、邮电费、取暖费、物业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管理费、差旅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费、因公出国（境）费、维修（护）费、租赁</w:t>
      </w:r>
      <w:r>
        <w:rPr>
          <w:rFonts w:cs="Times New Roman" w:asciiTheme="minorEastAsia" w:hAnsiTheme="minorEastAsia" w:eastAsiaTheme="minorEastAsia"/>
          <w:spacing w:val="-1"/>
          <w:sz w:val="32"/>
          <w:szCs w:val="32"/>
          <w:lang w:eastAsia="zh-CN"/>
        </w:rPr>
        <w:t>费、</w:t>
      </w:r>
      <w:r>
        <w:rPr>
          <w:rFonts w:cs="Times New Roman" w:asciiTheme="minorEastAsia" w:hAnsiTheme="minorEastAsia" w:eastAsiaTheme="minorEastAsia"/>
          <w:spacing w:val="85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1"/>
          <w:sz w:val="32"/>
          <w:szCs w:val="32"/>
          <w:lang w:eastAsia="zh-CN"/>
        </w:rPr>
        <w:t>会议费、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培训费、公务接待费、专用材料费、被装购置费、专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用燃料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费、劳务费、委托业务费、工会经费、福利费、公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务用车运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行维护费、其他交通费用、税金及附加费用、其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他商品和服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务支出、房屋建筑物购建、办公设备购置、专用设备购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置、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基础设施建设、大型修缮、信息网络及软件购置更新、其他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资本性支出</w:t>
      </w:r>
      <w:r>
        <w:rPr>
          <w:rFonts w:hint="eastAsia" w:cs="Times New Roman" w:asciiTheme="minorEastAsia" w:hAnsiTheme="minorEastAsia" w:eastAsiaTheme="minorEastAsia"/>
          <w:spacing w:val="4"/>
          <w:sz w:val="32"/>
          <w:szCs w:val="32"/>
          <w:lang w:eastAsia="zh-CN"/>
        </w:rPr>
        <w:t>。</w:t>
      </w:r>
    </w:p>
    <w:p>
      <w:pPr>
        <w:spacing w:before="101" w:line="360" w:lineRule="auto"/>
        <w:ind w:firstLine="679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9"/>
          <w:sz w:val="32"/>
          <w:szCs w:val="32"/>
          <w:lang w:eastAsia="zh-CN"/>
        </w:rPr>
        <w:t>七、政府性基金预算财政拨款收入支出决算</w:t>
      </w:r>
      <w:r>
        <w:rPr>
          <w:rFonts w:ascii="Times New Roman" w:hAnsi="Times New Roman" w:eastAsia="仿宋_GB2312" w:cs="Times New Roman"/>
          <w:b/>
          <w:bCs/>
          <w:spacing w:val="8"/>
          <w:sz w:val="32"/>
          <w:szCs w:val="32"/>
          <w:lang w:eastAsia="zh-CN"/>
        </w:rPr>
        <w:t>情况说明</w:t>
      </w:r>
    </w:p>
    <w:p>
      <w:pPr>
        <w:spacing w:before="260" w:line="360" w:lineRule="auto"/>
        <w:ind w:left="675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z w:val="32"/>
          <w:szCs w:val="30"/>
          <w:lang w:eastAsia="zh-CN"/>
        </w:rPr>
        <w:t>202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3年度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没有该项决算的说明。</w:t>
      </w:r>
    </w:p>
    <w:p>
      <w:pPr>
        <w:spacing w:before="260" w:line="360" w:lineRule="auto"/>
        <w:ind w:left="675"/>
        <w:rPr>
          <w:rFonts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7"/>
          <w:sz w:val="32"/>
          <w:szCs w:val="32"/>
          <w:lang w:eastAsia="zh-CN"/>
        </w:rPr>
        <w:t>八、国有资本经营预算财政拨款支出决算情况说明</w:t>
      </w:r>
    </w:p>
    <w:p>
      <w:pPr>
        <w:spacing w:before="260" w:line="360" w:lineRule="auto"/>
        <w:ind w:left="675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z w:val="32"/>
          <w:szCs w:val="30"/>
          <w:lang w:eastAsia="zh-CN"/>
        </w:rPr>
        <w:t>202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3年度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没有该项决算的说明。</w:t>
      </w:r>
    </w:p>
    <w:p>
      <w:pPr>
        <w:spacing w:before="101" w:line="360" w:lineRule="auto"/>
        <w:ind w:firstLine="675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8"/>
          <w:sz w:val="32"/>
          <w:szCs w:val="32"/>
          <w:lang w:eastAsia="zh-CN"/>
        </w:rPr>
        <w:t>九、财政拨款“三公”经费支出决算情况说明</w:t>
      </w:r>
    </w:p>
    <w:p>
      <w:pPr>
        <w:spacing w:before="260" w:line="360" w:lineRule="auto"/>
        <w:ind w:left="675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z w:val="32"/>
          <w:szCs w:val="30"/>
          <w:lang w:eastAsia="zh-CN"/>
        </w:rPr>
        <w:t>202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3年度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没有该项决算的说明。</w:t>
      </w:r>
    </w:p>
    <w:p>
      <w:pPr>
        <w:spacing w:before="101" w:line="360" w:lineRule="auto"/>
        <w:ind w:firstLine="667" w:firstLineChars="200"/>
        <w:outlineLvl w:val="3"/>
        <w:rPr>
          <w:rFonts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6"/>
          <w:sz w:val="32"/>
          <w:szCs w:val="32"/>
          <w:lang w:eastAsia="zh-CN"/>
        </w:rPr>
        <w:t>十、关于</w:t>
      </w:r>
      <w:r>
        <w:rPr>
          <w:rFonts w:ascii="Times New Roman" w:hAnsi="Times New Roman" w:eastAsia="仿宋_GB2312" w:cs="Times New Roman"/>
          <w:b/>
          <w:bCs/>
          <w:spacing w:val="-52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pacing w:val="6"/>
          <w:sz w:val="32"/>
          <w:szCs w:val="32"/>
          <w:lang w:eastAsia="zh-CN"/>
        </w:rPr>
        <w:t>2023</w:t>
      </w:r>
      <w:r>
        <w:rPr>
          <w:rFonts w:ascii="Times New Roman" w:hAnsi="Times New Roman" w:eastAsia="仿宋_GB2312" w:cs="Times New Roman"/>
          <w:b/>
          <w:bCs/>
          <w:spacing w:val="-63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pacing w:val="6"/>
          <w:sz w:val="32"/>
          <w:szCs w:val="32"/>
          <w:lang w:eastAsia="zh-CN"/>
        </w:rPr>
        <w:t>年度绩效评价情况说明</w:t>
      </w:r>
    </w:p>
    <w:p>
      <w:pPr>
        <w:spacing w:before="260" w:line="360" w:lineRule="auto"/>
        <w:ind w:left="675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z w:val="32"/>
          <w:szCs w:val="30"/>
          <w:lang w:eastAsia="zh-CN"/>
        </w:rPr>
        <w:t>202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3年度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没有该项决算的说明。</w:t>
      </w:r>
    </w:p>
    <w:p>
      <w:pPr>
        <w:spacing w:before="100" w:line="360" w:lineRule="auto"/>
        <w:ind w:firstLine="667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6"/>
          <w:sz w:val="32"/>
          <w:szCs w:val="32"/>
          <w:lang w:eastAsia="zh-CN"/>
        </w:rPr>
        <w:t>十一、其他重要事项情况说明</w:t>
      </w:r>
    </w:p>
    <w:p>
      <w:pPr>
        <w:spacing w:before="260" w:line="360" w:lineRule="auto"/>
        <w:ind w:left="675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z w:val="32"/>
          <w:szCs w:val="30"/>
          <w:lang w:eastAsia="zh-CN"/>
        </w:rPr>
        <w:t>202</w:t>
      </w:r>
      <w:r>
        <w:rPr>
          <w:rFonts w:hint="eastAsia" w:asciiTheme="minorEastAsia" w:hAnsiTheme="minorEastAsia" w:eastAsiaTheme="minorEastAsia"/>
          <w:sz w:val="32"/>
          <w:szCs w:val="30"/>
          <w:lang w:eastAsia="zh-CN"/>
        </w:rPr>
        <w:t>3年度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没有该项决算的说明。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CN"/>
        </w:rPr>
        <w:sectPr>
          <w:footerReference r:id="rId17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>
      <w:pPr>
        <w:spacing w:before="225" w:line="360" w:lineRule="auto"/>
        <w:ind w:left="2186"/>
        <w:outlineLvl w:val="0"/>
        <w:rPr>
          <w:rFonts w:hint="eastAsia" w:ascii="黑体" w:hAnsi="黑体" w:eastAsia="黑体" w:cs="Times New Roman"/>
          <w:sz w:val="36"/>
          <w:szCs w:val="36"/>
          <w:lang w:eastAsia="zh-CN"/>
        </w:rPr>
      </w:pPr>
      <w:r>
        <w:rPr>
          <w:rFonts w:ascii="黑体" w:hAnsi="黑体" w:eastAsia="黑体" w:cs="Times New Roman"/>
          <w:spacing w:val="-4"/>
          <w:position w:val="-2"/>
          <w:sz w:val="36"/>
          <w:szCs w:val="36"/>
          <w:lang w:eastAsia="zh-CN"/>
        </w:rPr>
        <w:t>第四部分</w:t>
      </w:r>
      <w:r>
        <w:rPr>
          <w:rFonts w:ascii="黑体" w:hAnsi="黑体" w:eastAsia="黑体" w:cs="Times New Roman"/>
          <w:spacing w:val="24"/>
          <w:position w:val="-2"/>
          <w:sz w:val="36"/>
          <w:szCs w:val="36"/>
          <w:lang w:eastAsia="zh-CN"/>
        </w:rPr>
        <w:t xml:space="preserve">   </w:t>
      </w:r>
      <w:r>
        <w:rPr>
          <w:rFonts w:ascii="黑体" w:hAnsi="黑体" w:eastAsia="黑体" w:cs="Times New Roman"/>
          <w:spacing w:val="-4"/>
          <w:position w:val="-2"/>
          <w:sz w:val="36"/>
          <w:szCs w:val="36"/>
          <w:lang w:eastAsia="zh-CN"/>
        </w:rPr>
        <w:t>名词解释</w:t>
      </w:r>
    </w:p>
    <w:p>
      <w:pPr>
        <w:spacing w:before="100" w:line="360" w:lineRule="auto"/>
        <w:ind w:right="13" w:firstLine="667" w:firstLineChars="200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6"/>
          <w:sz w:val="32"/>
          <w:szCs w:val="32"/>
          <w:lang w:eastAsia="zh-CN"/>
        </w:rPr>
        <w:t>一、财政拨款收入：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指单位从同级财政部门取得的财政</w:t>
      </w:r>
      <w:r>
        <w:rPr>
          <w:rFonts w:cs="Times New Roman" w:asciiTheme="minorEastAsia" w:hAnsiTheme="minorEastAsia" w:eastAsiaTheme="minorEastAsia"/>
          <w:spacing w:val="16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2"/>
          <w:sz w:val="32"/>
          <w:szCs w:val="32"/>
          <w:lang w:eastAsia="zh-CN"/>
        </w:rPr>
        <w:t>预算资金。</w:t>
      </w:r>
    </w:p>
    <w:p>
      <w:pPr>
        <w:spacing w:before="250" w:line="360" w:lineRule="auto"/>
        <w:ind w:left="30" w:right="13" w:firstLine="656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6"/>
          <w:sz w:val="32"/>
          <w:szCs w:val="32"/>
          <w:lang w:eastAsia="zh-CN"/>
        </w:rPr>
        <w:t>二、上级补助收入：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指从主管部门和上级单位取得的非</w:t>
      </w:r>
      <w:r>
        <w:rPr>
          <w:rFonts w:cs="Times New Roman" w:asciiTheme="minorEastAsia" w:hAnsiTheme="minorEastAsia" w:eastAsiaTheme="minorEastAsia"/>
          <w:spacing w:val="18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1"/>
          <w:sz w:val="32"/>
          <w:szCs w:val="32"/>
          <w:lang w:eastAsia="zh-CN"/>
        </w:rPr>
        <w:t>财政补助收入。</w:t>
      </w:r>
    </w:p>
    <w:p>
      <w:pPr>
        <w:spacing w:before="249" w:line="360" w:lineRule="auto"/>
        <w:ind w:left="44" w:right="18" w:firstLine="649"/>
        <w:outlineLvl w:val="3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4"/>
          <w:sz w:val="32"/>
          <w:szCs w:val="32"/>
          <w:lang w:eastAsia="zh-CN"/>
        </w:rPr>
        <w:t>三、事业收入：指事业单位开展专业业务活动及辅助活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b/>
          <w:bCs/>
          <w:spacing w:val="-6"/>
          <w:sz w:val="32"/>
          <w:szCs w:val="32"/>
          <w:lang w:eastAsia="zh-CN"/>
        </w:rPr>
        <w:t>动取得的收入。</w:t>
      </w:r>
    </w:p>
    <w:p>
      <w:pPr>
        <w:spacing w:before="249" w:line="360" w:lineRule="auto"/>
        <w:ind w:left="44" w:right="16" w:firstLine="662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6"/>
          <w:sz w:val="32"/>
          <w:szCs w:val="32"/>
          <w:lang w:eastAsia="zh-CN"/>
        </w:rPr>
        <w:t>四、经营收入：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指事业单位在专业业务活动及其辅助活</w:t>
      </w:r>
      <w:r>
        <w:rPr>
          <w:rFonts w:cs="Times New Roman" w:asciiTheme="minorEastAsia" w:hAnsiTheme="minorEastAsia" w:eastAsiaTheme="minorEastAsia"/>
          <w:spacing w:val="2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动之外开展非独立核算经营活动取得的收入。</w:t>
      </w:r>
    </w:p>
    <w:p>
      <w:pPr>
        <w:spacing w:before="249" w:line="360" w:lineRule="auto"/>
        <w:ind w:left="28" w:right="13" w:firstLine="653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6"/>
          <w:sz w:val="32"/>
          <w:szCs w:val="32"/>
          <w:lang w:eastAsia="zh-CN"/>
        </w:rPr>
        <w:t>五、附属单位上缴收入：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指事业单位附属独立核算单位</w:t>
      </w:r>
      <w:r>
        <w:rPr>
          <w:rFonts w:cs="Times New Roman" w:asciiTheme="minorEastAsia" w:hAnsiTheme="minorEastAsia" w:eastAsiaTheme="minorEastAsia"/>
          <w:spacing w:val="18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按照有关规定上缴的收入。</w:t>
      </w:r>
    </w:p>
    <w:p>
      <w:pPr>
        <w:spacing w:before="246" w:line="360" w:lineRule="auto"/>
        <w:ind w:left="29" w:right="14" w:firstLine="654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7"/>
          <w:sz w:val="32"/>
          <w:szCs w:val="32"/>
          <w:lang w:eastAsia="zh-CN"/>
        </w:rPr>
        <w:t>六、其他收入：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指除上述收入以外的各项收入。包括未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纳入财政预算或财政专户管理的投资收益、银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行存款利息收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入、租金收入、捐赠收入，现金盘盈收入、存货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盘盈收入、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收回已核销应收及预付款项、无法偿付的应付及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预收款项，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从省财政以外的同级单位取得的经费、从非省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财政取得的经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费，以及行政单位收到的财政专户管理资金等。</w:t>
      </w:r>
    </w:p>
    <w:p>
      <w:pPr>
        <w:spacing w:before="252" w:line="360" w:lineRule="auto"/>
        <w:ind w:left="28" w:right="10" w:firstLine="649"/>
        <w:rPr>
          <w:rFonts w:hint="eastAsia" w:cs="Times New Roman" w:asciiTheme="minorEastAsia" w:hAnsiTheme="minorEastAsia" w:eastAsiaTheme="minorEastAsia"/>
          <w:spacing w:val="5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5"/>
          <w:sz w:val="32"/>
          <w:szCs w:val="32"/>
          <w:lang w:eastAsia="zh-CN"/>
        </w:rPr>
        <w:t>七、使用非财政拨款结余（含专用结余</w:t>
      </w:r>
      <w:r>
        <w:rPr>
          <w:rFonts w:cs="Times New Roman" w:asciiTheme="minorEastAsia" w:hAnsiTheme="minorEastAsia" w:eastAsiaTheme="minorEastAsia"/>
          <w:b/>
          <w:bCs/>
          <w:spacing w:val="16"/>
          <w:sz w:val="32"/>
          <w:szCs w:val="32"/>
          <w:lang w:eastAsia="zh-CN"/>
        </w:rPr>
        <w:t>）：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指事业单位</w:t>
      </w:r>
      <w:r>
        <w:rPr>
          <w:rFonts w:cs="Times New Roman" w:asciiTheme="minorEastAsia" w:hAnsiTheme="minorEastAsia" w:eastAsiaTheme="minorEastAsia"/>
          <w:spacing w:val="1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21"/>
          <w:sz w:val="32"/>
          <w:szCs w:val="32"/>
          <w:lang w:eastAsia="zh-CN"/>
        </w:rPr>
        <w:t>按照预算管理要求使用非财政拨款结余弥补收支差额的金</w:t>
      </w:r>
      <w:r>
        <w:rPr>
          <w:rFonts w:cs="Times New Roman" w:asciiTheme="minorEastAsia" w:hAnsiTheme="minorEastAsia" w:eastAsiaTheme="minorEastAsia"/>
          <w:spacing w:val="15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额，以及使用专用结余安排支出的金额。</w:t>
      </w:r>
    </w:p>
    <w:p>
      <w:pPr>
        <w:spacing w:before="252" w:line="360" w:lineRule="auto"/>
        <w:ind w:left="28" w:right="10" w:firstLine="649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7"/>
          <w:sz w:val="32"/>
          <w:szCs w:val="32"/>
          <w:lang w:eastAsia="zh-CN"/>
        </w:rPr>
        <w:t>八、年初结转和结余：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指单位以前年度尚未完成、结转到本年按有关规定用途继续使用的资金，或项目已完成等产</w:t>
      </w:r>
      <w:r>
        <w:rPr>
          <w:rFonts w:cs="Times New Roman" w:asciiTheme="minorEastAsia" w:hAnsiTheme="minorEastAsia" w:eastAsiaTheme="minorEastAsia"/>
          <w:spacing w:val="-3"/>
          <w:sz w:val="32"/>
          <w:szCs w:val="32"/>
          <w:lang w:eastAsia="zh-CN"/>
        </w:rPr>
        <w:t>生的结余资金。</w:t>
      </w:r>
    </w:p>
    <w:p>
      <w:pPr>
        <w:spacing w:before="48" w:line="360" w:lineRule="auto"/>
        <w:ind w:left="32" w:right="155" w:firstLine="641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7"/>
          <w:sz w:val="32"/>
          <w:szCs w:val="32"/>
          <w:lang w:eastAsia="zh-CN"/>
        </w:rPr>
        <w:t>九、结余分配：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指事业单位按照会计制度规定缴纳的所</w:t>
      </w:r>
      <w:r>
        <w:rPr>
          <w:rFonts w:cs="Times New Roman" w:asciiTheme="minorEastAsia" w:hAnsiTheme="minorEastAsia" w:eastAsiaTheme="minorEastAsia"/>
          <w:spacing w:val="12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得税、提取的专用结余以及转入非财政拨款结余的金额等。</w:t>
      </w:r>
    </w:p>
    <w:p>
      <w:pPr>
        <w:spacing w:before="54" w:line="360" w:lineRule="auto"/>
        <w:ind w:left="29" w:right="153" w:firstLine="654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7"/>
          <w:sz w:val="32"/>
          <w:szCs w:val="32"/>
          <w:lang w:eastAsia="zh-CN"/>
        </w:rPr>
        <w:t>十、年末结转和结余：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指单位按有关规定结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转到下年或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21"/>
          <w:sz w:val="32"/>
          <w:szCs w:val="32"/>
          <w:lang w:eastAsia="zh-CN"/>
        </w:rPr>
        <w:t>以后年度继续使用的资金，或项目已完成等产生的结余资</w:t>
      </w:r>
      <w:r>
        <w:rPr>
          <w:rFonts w:cs="Times New Roman" w:asciiTheme="minorEastAsia" w:hAnsiTheme="minorEastAsia" w:eastAsiaTheme="minorEastAsia"/>
          <w:spacing w:val="10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16"/>
          <w:sz w:val="32"/>
          <w:szCs w:val="32"/>
          <w:lang w:eastAsia="zh-CN"/>
        </w:rPr>
        <w:t>金。</w:t>
      </w:r>
    </w:p>
    <w:p>
      <w:pPr>
        <w:spacing w:before="39" w:line="360" w:lineRule="auto"/>
        <w:ind w:left="30" w:right="153" w:firstLine="653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7"/>
          <w:sz w:val="32"/>
          <w:szCs w:val="32"/>
          <w:lang w:eastAsia="zh-CN"/>
        </w:rPr>
        <w:t>十一、基本支出：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指为保障机构正常运转、完成日常工</w:t>
      </w:r>
      <w:r>
        <w:rPr>
          <w:rFonts w:cs="Times New Roman" w:asciiTheme="minorEastAsia" w:hAnsiTheme="minorEastAsia" w:eastAsiaTheme="minorEastAsia"/>
          <w:spacing w:val="1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作任务而发生的人员支出和公用支出。</w:t>
      </w:r>
    </w:p>
    <w:p>
      <w:pPr>
        <w:spacing w:before="250" w:line="360" w:lineRule="auto"/>
        <w:ind w:left="33" w:right="154" w:firstLine="650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7"/>
          <w:sz w:val="32"/>
          <w:szCs w:val="32"/>
          <w:lang w:eastAsia="zh-CN"/>
        </w:rPr>
        <w:t>十二、项目支出：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指在基本支出之外为完成特定行政任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4"/>
          <w:sz w:val="32"/>
          <w:szCs w:val="32"/>
          <w:lang w:eastAsia="zh-CN"/>
        </w:rPr>
        <w:t>务或事业发展目标所发生的支出。</w:t>
      </w:r>
    </w:p>
    <w:p>
      <w:pPr>
        <w:spacing w:before="249" w:line="360" w:lineRule="auto"/>
        <w:ind w:left="44" w:right="155" w:firstLine="639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7"/>
          <w:sz w:val="32"/>
          <w:szCs w:val="32"/>
          <w:lang w:eastAsia="zh-CN"/>
        </w:rPr>
        <w:t>十三、经营支出：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指事业单位在专业业务活动及其辅助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活动之外开展非独立核算经营活动发生的支出。</w:t>
      </w:r>
    </w:p>
    <w:p>
      <w:pPr>
        <w:spacing w:before="249" w:line="360" w:lineRule="auto"/>
        <w:ind w:left="40" w:right="153" w:firstLine="643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7"/>
          <w:sz w:val="32"/>
          <w:szCs w:val="32"/>
          <w:lang w:eastAsia="zh-CN"/>
        </w:rPr>
        <w:t>十四、上缴上级支出：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指事业单位按照有关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规定上缴上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2"/>
          <w:sz w:val="32"/>
          <w:szCs w:val="32"/>
          <w:lang w:eastAsia="zh-CN"/>
        </w:rPr>
        <w:t>级单位的支出。</w:t>
      </w:r>
    </w:p>
    <w:p>
      <w:pPr>
        <w:spacing w:before="251" w:line="360" w:lineRule="auto"/>
        <w:ind w:left="29" w:right="152" w:firstLine="654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6"/>
          <w:sz w:val="32"/>
          <w:szCs w:val="32"/>
          <w:lang w:eastAsia="zh-CN"/>
        </w:rPr>
        <w:t>十五、对附属单位补助支出：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指事业单位用财政补助收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入之外的收入对附属单位补助发生的支出。</w:t>
      </w:r>
    </w:p>
    <w:p>
      <w:pPr>
        <w:spacing w:before="252" w:line="360" w:lineRule="auto"/>
        <w:ind w:left="25" w:firstLine="658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7"/>
          <w:sz w:val="32"/>
          <w:szCs w:val="32"/>
          <w:lang w:eastAsia="zh-CN"/>
        </w:rPr>
        <w:t>十六、“三公”经费：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纳入省级财政预决算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管理的“三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公”经费，是指省级部门用财政拨款安排的因公出国（境）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 xml:space="preserve"> 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费、公务用车购置及运行维护费和公务接待费。是党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政机关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维持运转或完成特定工作任务所开支的相关支出，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是政府行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 </w:t>
      </w:r>
      <w:r>
        <w:rPr>
          <w:rFonts w:cs="Times New Roman" w:asciiTheme="minorEastAsia" w:hAnsiTheme="minorEastAsia" w:eastAsiaTheme="minorEastAsia"/>
          <w:spacing w:val="-12"/>
          <w:sz w:val="32"/>
          <w:szCs w:val="32"/>
          <w:lang w:eastAsia="zh-CN"/>
        </w:rPr>
        <w:t>政开支的一部分。其中，</w:t>
      </w:r>
      <w:r>
        <w:rPr>
          <w:rFonts w:cs="Times New Roman" w:asciiTheme="minorEastAsia" w:hAnsiTheme="minorEastAsia" w:eastAsiaTheme="minorEastAsia"/>
          <w:spacing w:val="-46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12"/>
          <w:sz w:val="32"/>
          <w:szCs w:val="32"/>
          <w:lang w:eastAsia="zh-CN"/>
        </w:rPr>
        <w:t>因公出国（境）费反映公</w:t>
      </w:r>
      <w:r>
        <w:rPr>
          <w:rFonts w:cs="Times New Roman" w:asciiTheme="minorEastAsia" w:hAnsiTheme="minorEastAsia" w:eastAsiaTheme="minorEastAsia"/>
          <w:spacing w:val="-13"/>
          <w:sz w:val="32"/>
          <w:szCs w:val="32"/>
          <w:lang w:eastAsia="zh-CN"/>
        </w:rPr>
        <w:t>务出国（境）</w:t>
      </w:r>
      <w:r>
        <w:rPr>
          <w:rFonts w:cs="Times New Roman" w:asciiTheme="minorEastAsia" w:hAnsiTheme="minorEastAsia" w:eastAsiaTheme="minorEastAsia"/>
          <w:spacing w:val="-1"/>
          <w:sz w:val="32"/>
          <w:szCs w:val="32"/>
          <w:lang w:eastAsia="zh-CN"/>
        </w:rPr>
        <w:t>的国际旅费、国外城市间交通费、住宿费、伙食费、培训费、</w:t>
      </w:r>
      <w:r>
        <w:rPr>
          <w:rFonts w:cs="Times New Roman" w:asciiTheme="minorEastAsia" w:hAnsiTheme="minorEastAsia" w:eastAsiaTheme="minorEastAsia"/>
          <w:spacing w:val="16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公杂费等支出；公务用车购置及运行费反映单位公务用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车车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辆购置支出（含车辆购置税）及燃料费、维修费、过桥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过路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费、保险费、安全奖励费等支出；公务接待费反映单位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按规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定开支的各类公务接待（含外宾接待）支出。</w:t>
      </w:r>
    </w:p>
    <w:p>
      <w:pPr>
        <w:spacing w:before="48" w:line="360" w:lineRule="auto"/>
        <w:ind w:left="26" w:right="93" w:firstLine="656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7"/>
          <w:sz w:val="32"/>
          <w:szCs w:val="32"/>
          <w:lang w:eastAsia="zh-CN"/>
        </w:rPr>
        <w:t>十七、机关运行经费：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指为保障行政单位（包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括参照公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务员法管理的事业单位）运行用于购买货物和服务的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各项资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金，包括办公费、</w:t>
      </w:r>
      <w:r>
        <w:rPr>
          <w:rFonts w:cs="Times New Roman" w:asciiTheme="minorEastAsia" w:hAnsiTheme="minorEastAsia" w:eastAsiaTheme="minorEastAsia"/>
          <w:spacing w:val="-82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印刷费、邮电费、差旅费、会议费、福利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费、日常维修费、专用材料及一般设备购置费、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办公用房水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9"/>
          <w:sz w:val="32"/>
          <w:szCs w:val="32"/>
          <w:lang w:eastAsia="zh-CN"/>
        </w:rPr>
        <w:t>电费、办公用房取暖费、办公用房物业管理费、</w:t>
      </w:r>
      <w:r>
        <w:rPr>
          <w:rFonts w:cs="Times New Roman" w:asciiTheme="minorEastAsia" w:hAnsiTheme="minorEastAsia" w:eastAsiaTheme="minorEastAsia"/>
          <w:spacing w:val="8"/>
          <w:sz w:val="32"/>
          <w:szCs w:val="32"/>
          <w:lang w:eastAsia="zh-CN"/>
        </w:rPr>
        <w:t>公务用车运</w:t>
      </w:r>
      <w:r>
        <w:rPr>
          <w:rFonts w:cs="Times New Roman" w:asciiTheme="minorEastAsia" w:hAnsiTheme="minorEastAsia" w:eastAsiaTheme="minorEastAsia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3"/>
          <w:sz w:val="32"/>
          <w:szCs w:val="32"/>
          <w:lang w:eastAsia="zh-CN"/>
        </w:rPr>
        <w:t>行维护费以及其他费用。</w:t>
      </w:r>
    </w:p>
    <w:p>
      <w:pPr>
        <w:spacing w:before="250" w:line="360" w:lineRule="auto"/>
        <w:ind w:left="43" w:right="93" w:firstLine="640"/>
        <w:rPr>
          <w:rFonts w:hint="eastAsia" w:cs="Times New Roman" w:asciiTheme="minorEastAsia" w:hAnsiTheme="minorEastAsia" w:eastAsiaTheme="minorEastAsia"/>
          <w:sz w:val="32"/>
          <w:szCs w:val="32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spacing w:val="6"/>
          <w:sz w:val="32"/>
          <w:szCs w:val="32"/>
          <w:lang w:eastAsia="zh-CN"/>
        </w:rPr>
        <w:t>十八、******</w:t>
      </w:r>
      <w:r>
        <w:rPr>
          <w:rFonts w:cs="Times New Roman" w:asciiTheme="minorEastAsia" w:hAnsiTheme="minorEastAsia" w:eastAsiaTheme="minorEastAsia"/>
          <w:spacing w:val="6"/>
          <w:sz w:val="32"/>
          <w:szCs w:val="32"/>
          <w:lang w:eastAsia="zh-CN"/>
        </w:rPr>
        <w:t>（对部门使用的所有“项”级政府收支分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7"/>
          <w:sz w:val="32"/>
          <w:szCs w:val="32"/>
          <w:lang w:eastAsia="zh-CN"/>
        </w:rPr>
        <w:t>类科目，参照《2023年政府收支分类科目》中的科目说明和</w:t>
      </w:r>
      <w:r>
        <w:rPr>
          <w:rFonts w:cs="Times New Roman" w:asciiTheme="minorEastAsia" w:hAnsiTheme="minorEastAsia" w:eastAsiaTheme="minorEastAsia"/>
          <w:spacing w:val="18"/>
          <w:sz w:val="32"/>
          <w:szCs w:val="32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5"/>
          <w:sz w:val="32"/>
          <w:szCs w:val="32"/>
          <w:lang w:eastAsia="zh-CN"/>
        </w:rPr>
        <w:t>中央部门决算公开内容进行说明</w:t>
      </w:r>
      <w:r>
        <w:rPr>
          <w:rFonts w:cs="Times New Roman" w:asciiTheme="minorEastAsia" w:hAnsiTheme="minorEastAsia" w:eastAsiaTheme="minorEastAsia"/>
          <w:spacing w:val="19"/>
          <w:sz w:val="32"/>
          <w:szCs w:val="32"/>
          <w:lang w:eastAsia="zh-CN"/>
        </w:rPr>
        <w:t>）：</w:t>
      </w:r>
    </w:p>
    <w:p>
      <w:pPr>
        <w:spacing w:before="250" w:line="360" w:lineRule="auto"/>
        <w:ind w:left="683"/>
        <w:rPr>
          <w:rFonts w:hint="eastAsia" w:cs="Times New Roman" w:asciiTheme="minorEastAsia" w:hAnsiTheme="minorEastAsia" w:eastAsiaTheme="minorEastAsia"/>
          <w:sz w:val="32"/>
          <w:szCs w:val="32"/>
        </w:rPr>
      </w:pPr>
      <w:r>
        <w:rPr>
          <w:rFonts w:cs="Times New Roman" w:asciiTheme="minorEastAsia" w:hAnsiTheme="minorEastAsia" w:eastAsiaTheme="minorEastAsia"/>
          <w:b/>
          <w:bCs/>
          <w:spacing w:val="-8"/>
          <w:sz w:val="32"/>
          <w:szCs w:val="32"/>
        </w:rPr>
        <w:t>十九、</w:t>
      </w:r>
      <w:r>
        <w:rPr>
          <w:rFonts w:cs="Times New Roman" w:asciiTheme="minorEastAsia" w:hAnsiTheme="minorEastAsia" w:eastAsiaTheme="minorEastAsia"/>
          <w:spacing w:val="-83"/>
          <w:sz w:val="32"/>
          <w:szCs w:val="32"/>
        </w:rPr>
        <w:t xml:space="preserve"> </w:t>
      </w:r>
      <w:r>
        <w:rPr>
          <w:rFonts w:cs="Times New Roman" w:asciiTheme="minorEastAsia" w:hAnsiTheme="minorEastAsia" w:eastAsiaTheme="minorEastAsia"/>
          <w:spacing w:val="-8"/>
          <w:sz w:val="32"/>
          <w:szCs w:val="32"/>
        </w:rPr>
        <w:t>…</w:t>
      </w:r>
      <w:r>
        <w:rPr>
          <w:rFonts w:cs="Times New Roman" w:asciiTheme="minorEastAsia" w:hAnsiTheme="minorEastAsia" w:eastAsiaTheme="minorEastAsia"/>
          <w:spacing w:val="-103"/>
          <w:sz w:val="32"/>
          <w:szCs w:val="32"/>
        </w:rPr>
        <w:t xml:space="preserve"> </w:t>
      </w:r>
      <w:r>
        <w:rPr>
          <w:rFonts w:cs="Times New Roman" w:asciiTheme="minorEastAsia" w:hAnsiTheme="minorEastAsia" w:eastAsiaTheme="minorEastAsia"/>
          <w:spacing w:val="-8"/>
          <w:sz w:val="32"/>
          <w:szCs w:val="32"/>
        </w:rPr>
        <w:t>…（同上）</w:t>
      </w:r>
    </w:p>
    <w:p>
      <w:pPr>
        <w:spacing w:before="249" w:line="360" w:lineRule="auto"/>
        <w:ind w:left="26" w:right="98" w:firstLine="648"/>
        <w:rPr>
          <w:rFonts w:hint="eastAsia" w:cs="Times New Roman" w:asciiTheme="minorEastAsia" w:hAnsiTheme="minorEastAsia" w:eastAsiaTheme="minorEastAsia"/>
          <w:color w:val="FF0000"/>
          <w:spacing w:val="5"/>
          <w:sz w:val="32"/>
          <w:szCs w:val="32"/>
        </w:rPr>
      </w:pPr>
    </w:p>
    <w:sectPr>
      <w:footerReference r:id="rId18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38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6"/>
      </w:rPr>
      <w:t>12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8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6"/>
      </w:rPr>
      <w:t>13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6"/>
      </w:rPr>
      <w:t>14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68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1"/>
      </w:rPr>
      <w:t>24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68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1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18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4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3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2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7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2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8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6"/>
      </w:rPr>
      <w:t>10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0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Y3ZDc2OTVmZTljNmQ4YjBmZmVmMzQ2YWRmYzYzNGYifQ=="/>
  </w:docVars>
  <w:rsids>
    <w:rsidRoot w:val="00BA78AD"/>
    <w:rsid w:val="00003160"/>
    <w:rsid w:val="00040883"/>
    <w:rsid w:val="00044036"/>
    <w:rsid w:val="00053412"/>
    <w:rsid w:val="00066E28"/>
    <w:rsid w:val="000C1B79"/>
    <w:rsid w:val="000D303B"/>
    <w:rsid w:val="0018645A"/>
    <w:rsid w:val="001A140F"/>
    <w:rsid w:val="001D5FA9"/>
    <w:rsid w:val="00212420"/>
    <w:rsid w:val="00230ECC"/>
    <w:rsid w:val="002408BE"/>
    <w:rsid w:val="00270DC7"/>
    <w:rsid w:val="002A2F5A"/>
    <w:rsid w:val="002F6B3D"/>
    <w:rsid w:val="0034373D"/>
    <w:rsid w:val="003623E2"/>
    <w:rsid w:val="00366828"/>
    <w:rsid w:val="003F5D42"/>
    <w:rsid w:val="004462EF"/>
    <w:rsid w:val="00467337"/>
    <w:rsid w:val="004862E9"/>
    <w:rsid w:val="004F3601"/>
    <w:rsid w:val="0058408F"/>
    <w:rsid w:val="005869CE"/>
    <w:rsid w:val="005D67C9"/>
    <w:rsid w:val="00617B3C"/>
    <w:rsid w:val="006E1240"/>
    <w:rsid w:val="006F0C2E"/>
    <w:rsid w:val="007013D6"/>
    <w:rsid w:val="00701F06"/>
    <w:rsid w:val="00737DEA"/>
    <w:rsid w:val="00791421"/>
    <w:rsid w:val="00794D25"/>
    <w:rsid w:val="007A347A"/>
    <w:rsid w:val="00811764"/>
    <w:rsid w:val="00835025"/>
    <w:rsid w:val="00847C2A"/>
    <w:rsid w:val="008B0045"/>
    <w:rsid w:val="008D7D93"/>
    <w:rsid w:val="0094110C"/>
    <w:rsid w:val="00964F01"/>
    <w:rsid w:val="00981081"/>
    <w:rsid w:val="00984C98"/>
    <w:rsid w:val="00986070"/>
    <w:rsid w:val="009A105B"/>
    <w:rsid w:val="009B0C6B"/>
    <w:rsid w:val="00A02F54"/>
    <w:rsid w:val="00A57A8B"/>
    <w:rsid w:val="00A87B46"/>
    <w:rsid w:val="00B10EFB"/>
    <w:rsid w:val="00B7258E"/>
    <w:rsid w:val="00BA78AD"/>
    <w:rsid w:val="00BD3AB8"/>
    <w:rsid w:val="00C524BD"/>
    <w:rsid w:val="00CF3E9A"/>
    <w:rsid w:val="00D706F1"/>
    <w:rsid w:val="00DA2FA9"/>
    <w:rsid w:val="00E366CB"/>
    <w:rsid w:val="00EA2858"/>
    <w:rsid w:val="00EE33E9"/>
    <w:rsid w:val="00EE75AA"/>
    <w:rsid w:val="16E22E2F"/>
    <w:rsid w:val="2324183F"/>
    <w:rsid w:val="50C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Char"/>
    <w:basedOn w:val="1"/>
    <w:qFormat/>
    <w:uiPriority w:val="0"/>
    <w:pPr>
      <w:spacing w:line="240" w:lineRule="exact"/>
    </w:pPr>
    <w:rPr>
      <w:rFonts w:eastAsia="宋体"/>
      <w:szCs w:val="20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Char1"/>
    <w:basedOn w:val="1"/>
    <w:qFormat/>
    <w:uiPriority w:val="0"/>
    <w:pPr>
      <w:kinsoku/>
      <w:autoSpaceDE/>
      <w:autoSpaceDN/>
      <w:adjustRightInd/>
      <w:snapToGrid/>
      <w:spacing w:line="240" w:lineRule="exact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  <w:lang w:eastAsia="zh-CN"/>
    </w:rPr>
  </w:style>
  <w:style w:type="paragraph" w:customStyle="1" w:styleId="11">
    <w:name w:val="Char2"/>
    <w:basedOn w:val="1"/>
    <w:qFormat/>
    <w:uiPriority w:val="0"/>
    <w:pPr>
      <w:kinsoku/>
      <w:autoSpaceDE/>
      <w:autoSpaceDN/>
      <w:adjustRightInd/>
      <w:snapToGrid/>
      <w:spacing w:line="240" w:lineRule="exact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  <w:lang w:eastAsia="zh-CN"/>
    </w:rPr>
  </w:style>
  <w:style w:type="character" w:customStyle="1" w:styleId="12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13">
    <w:name w:val="Char3"/>
    <w:basedOn w:val="1"/>
    <w:qFormat/>
    <w:uiPriority w:val="0"/>
    <w:pPr>
      <w:kinsoku/>
      <w:autoSpaceDE/>
      <w:autoSpaceDN/>
      <w:adjustRightInd/>
      <w:snapToGrid/>
      <w:spacing w:line="240" w:lineRule="exact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  <w:lang w:eastAsia="zh-CN"/>
    </w:rPr>
  </w:style>
  <w:style w:type="paragraph" w:customStyle="1" w:styleId="14">
    <w:name w:val="Char4"/>
    <w:basedOn w:val="1"/>
    <w:qFormat/>
    <w:uiPriority w:val="0"/>
    <w:pPr>
      <w:kinsoku/>
      <w:autoSpaceDE/>
      <w:autoSpaceDN/>
      <w:adjustRightInd/>
      <w:snapToGrid/>
      <w:spacing w:line="240" w:lineRule="exact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hart" Target="charts/chart6.xml"/><Relationship Id="rId34" Type="http://schemas.openxmlformats.org/officeDocument/2006/relationships/chart" Target="charts/chart5.xml"/><Relationship Id="rId33" Type="http://schemas.openxmlformats.org/officeDocument/2006/relationships/chart" Target="charts/chart4.xml"/><Relationship Id="rId32" Type="http://schemas.openxmlformats.org/officeDocument/2006/relationships/chart" Target="charts/chart3.xml"/><Relationship Id="rId31" Type="http://schemas.openxmlformats.org/officeDocument/2006/relationships/chart" Target="charts/chart2.xml"/><Relationship Id="rId30" Type="http://schemas.openxmlformats.org/officeDocument/2006/relationships/chart" Target="charts/chart1.xml"/><Relationship Id="rId3" Type="http://schemas.openxmlformats.org/officeDocument/2006/relationships/footnotes" Target="footnotes.xml"/><Relationship Id="rId29" Type="http://schemas.openxmlformats.org/officeDocument/2006/relationships/image" Target="media/image10.jpeg"/><Relationship Id="rId28" Type="http://schemas.openxmlformats.org/officeDocument/2006/relationships/image" Target="media/image9.emf"/><Relationship Id="rId27" Type="http://schemas.openxmlformats.org/officeDocument/2006/relationships/image" Target="media/image8.emf"/><Relationship Id="rId26" Type="http://schemas.openxmlformats.org/officeDocument/2006/relationships/image" Target="media/image7.emf"/><Relationship Id="rId25" Type="http://schemas.openxmlformats.org/officeDocument/2006/relationships/image" Target="media/image6.emf"/><Relationship Id="rId24" Type="http://schemas.openxmlformats.org/officeDocument/2006/relationships/image" Target="media/image5.emf"/><Relationship Id="rId23" Type="http://schemas.openxmlformats.org/officeDocument/2006/relationships/image" Target="media/image4.emf"/><Relationship Id="rId22" Type="http://schemas.openxmlformats.org/officeDocument/2006/relationships/image" Target="media/image3.emf"/><Relationship Id="rId21" Type="http://schemas.openxmlformats.org/officeDocument/2006/relationships/image" Target="media/image2.emf"/><Relationship Id="rId20" Type="http://schemas.openxmlformats.org/officeDocument/2006/relationships/image" Target="media/image1.emf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package" Target="../embeddings/Workbook6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年度收支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57.31</c:v>
                </c:pt>
                <c:pt idx="1">
                  <c:v>72.79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支出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57.31</c:v>
                </c:pt>
                <c:pt idx="1">
                  <c:v>72.79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7444144"/>
        <c:axId val="917445104"/>
      </c:barChart>
      <c:catAx>
        <c:axId val="91744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7445104"/>
        <c:crosses val="autoZero"/>
        <c:auto val="1"/>
        <c:lblAlgn val="ctr"/>
        <c:lblOffset val="100"/>
        <c:noMultiLvlLbl val="0"/>
      </c:catAx>
      <c:valAx>
        <c:axId val="91744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744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本年收入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</c:f>
              <c:strCache>
                <c:ptCount val="1"/>
                <c:pt idx="0">
                  <c:v>财政拨款收入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72.79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本年支出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</c:f>
              <c:strCache>
                <c:ptCount val="1"/>
                <c:pt idx="0">
                  <c:v>基本支出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72.79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年度财政拨款收支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财政拨款收入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57.31</c:v>
                </c:pt>
                <c:pt idx="1">
                  <c:v>72.79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财政拨款支出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57.31</c:v>
                </c:pt>
                <c:pt idx="1">
                  <c:v>72.79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7444144"/>
        <c:axId val="917445104"/>
      </c:barChart>
      <c:catAx>
        <c:axId val="91744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7445104"/>
        <c:crosses val="autoZero"/>
        <c:auto val="1"/>
        <c:lblAlgn val="ctr"/>
        <c:lblOffset val="100"/>
        <c:noMultiLvlLbl val="0"/>
      </c:catAx>
      <c:valAx>
        <c:axId val="91744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744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年度一般公共预算财政拨款收支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财政拨款收入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57.31</c:v>
                </c:pt>
                <c:pt idx="1">
                  <c:v>72.79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财政拨款支出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57.31</c:v>
                </c:pt>
                <c:pt idx="1">
                  <c:v>72.79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7444144"/>
        <c:axId val="917445104"/>
      </c:barChart>
      <c:catAx>
        <c:axId val="91744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7445104"/>
        <c:crosses val="autoZero"/>
        <c:auto val="1"/>
        <c:lblAlgn val="ctr"/>
        <c:lblOffset val="100"/>
        <c:noMultiLvlLbl val="0"/>
      </c:catAx>
      <c:valAx>
        <c:axId val="91744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744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一般公共预算财政拨款支出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教育（类）支出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Sheet1!$B$2:$B$5</c:f>
              <c:numCache>
                <c:formatCode>0.00_ </c:formatCode>
                <c:ptCount val="4"/>
                <c:pt idx="0">
                  <c:v>46.27</c:v>
                </c:pt>
                <c:pt idx="1">
                  <c:v>6.37</c:v>
                </c:pt>
                <c:pt idx="2">
                  <c:v>2.66</c:v>
                </c:pt>
                <c:pt idx="3">
                  <c:v>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642</Words>
  <Characters>3665</Characters>
  <Lines>30</Lines>
  <Paragraphs>8</Paragraphs>
  <TotalTime>587</TotalTime>
  <ScaleCrop>false</ScaleCrop>
  <LinksUpToDate>false</LinksUpToDate>
  <CharactersWithSpaces>4299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Administrator</cp:lastModifiedBy>
  <cp:lastPrinted>2024-08-26T08:47:00Z</cp:lastPrinted>
  <dcterms:modified xsi:type="dcterms:W3CDTF">2024-10-26T07:11:58Z</dcterms:modified>
  <dc:title>2015年度部门决算公开模板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2052-12.1.0.15946</vt:lpwstr>
  </property>
  <property fmtid="{D5CDD505-2E9C-101B-9397-08002B2CF9AE}" pid="5" name="ICV">
    <vt:lpwstr>31D0B85EB907403FBD56DC9EFEE238C3_12</vt:lpwstr>
  </property>
</Properties>
</file>