
<file path=[Content_Types].xml><?xml version="1.0" encoding="utf-8"?>
<Types xmlns="http://schemas.openxmlformats.org/package/2006/content-types">
  <Default Extension="xlsx" ContentType="application/vnd.openxmlformats-officedocument.spreadsheetml.sheet"/>
  <Default Extension="jpeg" ContentType="image/jpeg"/>
  <Default Extension="JPG" ContentType="image/.jp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charts/chart1.xml" ContentType="application/vnd.openxmlformats-officedocument.drawingml.chart+xml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charts/chart4.xml" ContentType="application/vnd.openxmlformats-officedocument.drawingml.chart+xml"/>
  <Override PartName="/word/charts/chart5.xml" ContentType="application/vnd.openxmlformats-officedocument.drawingml.chart+xml"/>
  <Override PartName="/word/charts/chart6.xml" ContentType="application/vnd.openxmlformats-officedocument.drawingml.chart+xml"/>
  <Override PartName="/word/charts/colors1.xml" ContentType="application/vnd.ms-office.chartcolorstyle+xml"/>
  <Override PartName="/word/charts/colors2.xml" ContentType="application/vnd.ms-office.chartcolorstyle+xml"/>
  <Override PartName="/word/charts/colors3.xml" ContentType="application/vnd.ms-office.chartcolorstyle+xml"/>
  <Override PartName="/word/charts/colors4.xml" ContentType="application/vnd.ms-office.chartcolorstyle+xml"/>
  <Override PartName="/word/charts/colors5.xml" ContentType="application/vnd.ms-office.chartcolorstyle+xml"/>
  <Override PartName="/word/charts/colors6.xml" ContentType="application/vnd.ms-office.chartcolorstyle+xml"/>
  <Override PartName="/word/charts/style1.xml" ContentType="application/vnd.ms-office.chartstyle+xml"/>
  <Override PartName="/word/charts/style2.xml" ContentType="application/vnd.ms-office.chartstyle+xml"/>
  <Override PartName="/word/charts/style3.xml" ContentType="application/vnd.ms-office.chartstyle+xml"/>
  <Override PartName="/word/charts/style4.xml" ContentType="application/vnd.ms-office.chartstyle+xml"/>
  <Override PartName="/word/charts/style5.xml" ContentType="application/vnd.ms-office.chartstyle+xml"/>
  <Override PartName="/word/charts/style6.xml" ContentType="application/vnd.ms-office.chartstyle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45605B8">
      <w:pPr>
        <w:widowControl w:val="0"/>
        <w:kinsoku/>
        <w:autoSpaceDE/>
        <w:autoSpaceDN/>
        <w:adjustRightInd/>
        <w:snapToGrid/>
        <w:spacing w:line="240" w:lineRule="auto"/>
        <w:jc w:val="both"/>
        <w:textAlignment w:val="auto"/>
        <w:rPr>
          <w:rFonts w:hint="eastAsia" w:ascii="仿宋" w:hAnsi="仿宋" w:eastAsia="仿宋" w:cs="Times New Roman"/>
          <w:snapToGrid/>
          <w:kern w:val="2"/>
          <w:sz w:val="28"/>
          <w:szCs w:val="28"/>
          <w:lang w:eastAsia="zh-CN"/>
        </w:rPr>
      </w:pPr>
      <w:r>
        <w:rPr>
          <w:rFonts w:hint="eastAsia" w:ascii="仿宋" w:hAnsi="仿宋" w:eastAsia="仿宋" w:cs="Times New Roman"/>
          <w:snapToGrid/>
          <w:kern w:val="2"/>
          <w:sz w:val="28"/>
          <w:szCs w:val="28"/>
          <w:lang w:eastAsia="zh-CN"/>
        </w:rPr>
        <w:t xml:space="preserve">附件 </w:t>
      </w:r>
      <w:r>
        <w:rPr>
          <w:rFonts w:hint="default" w:ascii="Times New Roman" w:hAnsi="Times New Roman" w:eastAsia="仿宋" w:cs="Times New Roman"/>
          <w:snapToGrid/>
          <w:kern w:val="2"/>
          <w:sz w:val="28"/>
          <w:szCs w:val="28"/>
          <w:lang w:eastAsia="zh-CN"/>
        </w:rPr>
        <w:t>1</w:t>
      </w:r>
      <w:r>
        <w:rPr>
          <w:rFonts w:hint="eastAsia" w:ascii="仿宋" w:hAnsi="仿宋" w:eastAsia="仿宋" w:cs="Times New Roman"/>
          <w:snapToGrid/>
          <w:kern w:val="2"/>
          <w:sz w:val="28"/>
          <w:szCs w:val="28"/>
          <w:lang w:eastAsia="zh-CN"/>
        </w:rPr>
        <w:t>：</w:t>
      </w:r>
    </w:p>
    <w:p w14:paraId="5194875A">
      <w:pPr>
        <w:pStyle w:val="2"/>
        <w:spacing w:line="251" w:lineRule="auto"/>
      </w:pPr>
    </w:p>
    <w:p w14:paraId="15A7E154">
      <w:pPr>
        <w:pStyle w:val="2"/>
        <w:spacing w:line="251" w:lineRule="auto"/>
      </w:pPr>
    </w:p>
    <w:p w14:paraId="10B84B7C">
      <w:pPr>
        <w:pStyle w:val="2"/>
        <w:spacing w:line="252" w:lineRule="auto"/>
      </w:pPr>
    </w:p>
    <w:p w14:paraId="751C39D1">
      <w:pPr>
        <w:pStyle w:val="2"/>
        <w:spacing w:line="252" w:lineRule="auto"/>
      </w:pPr>
    </w:p>
    <w:p w14:paraId="0561FA4A">
      <w:pPr>
        <w:pStyle w:val="2"/>
        <w:spacing w:line="252" w:lineRule="auto"/>
      </w:pPr>
    </w:p>
    <w:p w14:paraId="5B1007C2">
      <w:pPr>
        <w:pStyle w:val="2"/>
        <w:spacing w:line="252" w:lineRule="auto"/>
      </w:pPr>
    </w:p>
    <w:p w14:paraId="5CF92D06">
      <w:pPr>
        <w:pStyle w:val="2"/>
        <w:spacing w:line="252" w:lineRule="auto"/>
      </w:pPr>
    </w:p>
    <w:p w14:paraId="54126FE2">
      <w:pPr>
        <w:pStyle w:val="2"/>
        <w:spacing w:line="252" w:lineRule="auto"/>
      </w:pPr>
    </w:p>
    <w:p w14:paraId="1019F954">
      <w:pPr>
        <w:pStyle w:val="2"/>
        <w:spacing w:line="252" w:lineRule="auto"/>
      </w:pPr>
    </w:p>
    <w:p w14:paraId="3A71A31C">
      <w:pPr>
        <w:pStyle w:val="2"/>
        <w:spacing w:line="252" w:lineRule="auto"/>
      </w:pPr>
    </w:p>
    <w:p w14:paraId="115B7AA1">
      <w:pPr>
        <w:pStyle w:val="2"/>
        <w:spacing w:line="252" w:lineRule="auto"/>
      </w:pPr>
    </w:p>
    <w:p w14:paraId="5245FB85">
      <w:pPr>
        <w:pStyle w:val="2"/>
        <w:spacing w:line="252" w:lineRule="auto"/>
      </w:pPr>
    </w:p>
    <w:p w14:paraId="4CAA1137">
      <w:pPr>
        <w:pStyle w:val="2"/>
        <w:spacing w:line="252" w:lineRule="auto"/>
      </w:pPr>
    </w:p>
    <w:p w14:paraId="492350EB">
      <w:pPr>
        <w:widowControl w:val="0"/>
        <w:kinsoku/>
        <w:autoSpaceDE/>
        <w:autoSpaceDN/>
        <w:adjustRightInd/>
        <w:snapToGrid/>
        <w:spacing w:line="240" w:lineRule="auto"/>
        <w:jc w:val="center"/>
        <w:textAlignment w:val="auto"/>
        <w:rPr>
          <w:rFonts w:hint="default" w:ascii="Times New Roman" w:hAnsi="Times New Roman" w:eastAsia="黑体" w:cs="Times New Roman"/>
          <w:snapToGrid/>
          <w:kern w:val="2"/>
          <w:sz w:val="44"/>
          <w:szCs w:val="44"/>
          <w:lang w:eastAsia="zh-CN"/>
        </w:rPr>
      </w:pPr>
      <w:r>
        <w:rPr>
          <w:rFonts w:hint="default" w:ascii="Times New Roman" w:hAnsi="Times New Roman" w:eastAsia="黑体" w:cs="Times New Roman"/>
          <w:snapToGrid/>
          <w:kern w:val="2"/>
          <w:sz w:val="44"/>
          <w:szCs w:val="44"/>
          <w:lang w:eastAsia="zh-CN"/>
        </w:rPr>
        <w:t>2023 年度</w:t>
      </w:r>
    </w:p>
    <w:p w14:paraId="337A094F">
      <w:pPr>
        <w:widowControl w:val="0"/>
        <w:kinsoku/>
        <w:autoSpaceDE/>
        <w:autoSpaceDN/>
        <w:adjustRightInd/>
        <w:snapToGrid/>
        <w:spacing w:line="240" w:lineRule="auto"/>
        <w:jc w:val="center"/>
        <w:textAlignment w:val="auto"/>
        <w:rPr>
          <w:rFonts w:hint="default" w:ascii="Times New Roman" w:hAnsi="Times New Roman" w:eastAsia="黑体" w:cs="Times New Roman"/>
          <w:snapToGrid/>
          <w:kern w:val="2"/>
          <w:sz w:val="44"/>
          <w:szCs w:val="44"/>
          <w:lang w:eastAsia="zh-CN"/>
        </w:rPr>
      </w:pPr>
    </w:p>
    <w:p w14:paraId="2DEB44FE">
      <w:pPr>
        <w:widowControl w:val="0"/>
        <w:kinsoku/>
        <w:autoSpaceDE/>
        <w:autoSpaceDN/>
        <w:adjustRightInd/>
        <w:snapToGrid/>
        <w:spacing w:line="240" w:lineRule="auto"/>
        <w:jc w:val="center"/>
        <w:textAlignment w:val="auto"/>
        <w:rPr>
          <w:rFonts w:hint="default" w:ascii="Times New Roman" w:hAnsi="Times New Roman" w:eastAsia="黑体" w:cs="Times New Roman"/>
          <w:snapToGrid/>
          <w:kern w:val="2"/>
          <w:sz w:val="44"/>
          <w:szCs w:val="44"/>
          <w:lang w:val="en-US" w:eastAsia="zh-CN"/>
        </w:rPr>
      </w:pPr>
      <w:r>
        <w:rPr>
          <w:rFonts w:hint="eastAsia" w:ascii="Times New Roman" w:hAnsi="Times New Roman" w:eastAsia="黑体" w:cs="Times New Roman"/>
          <w:snapToGrid/>
          <w:kern w:val="2"/>
          <w:sz w:val="44"/>
          <w:szCs w:val="44"/>
          <w:lang w:eastAsia="zh-CN"/>
        </w:rPr>
        <w:t>榆树市</w:t>
      </w:r>
      <w:r>
        <w:rPr>
          <w:rFonts w:hint="eastAsia" w:ascii="Times New Roman" w:hAnsi="Times New Roman" w:eastAsia="黑体" w:cs="Times New Roman"/>
          <w:snapToGrid/>
          <w:kern w:val="2"/>
          <w:sz w:val="44"/>
          <w:szCs w:val="44"/>
          <w:lang w:val="en-US" w:eastAsia="zh-CN"/>
        </w:rPr>
        <w:t>黑林镇谢家中学校</w:t>
      </w:r>
    </w:p>
    <w:p w14:paraId="2018B6C0">
      <w:pPr>
        <w:widowControl w:val="0"/>
        <w:kinsoku/>
        <w:autoSpaceDE/>
        <w:autoSpaceDN/>
        <w:adjustRightInd/>
        <w:snapToGrid/>
        <w:spacing w:line="240" w:lineRule="auto"/>
        <w:jc w:val="center"/>
        <w:textAlignment w:val="auto"/>
        <w:rPr>
          <w:rFonts w:ascii="仿宋" w:hAnsi="仿宋" w:eastAsia="仿宋" w:cs="Arial"/>
          <w:snapToGrid/>
          <w:kern w:val="2"/>
          <w:sz w:val="44"/>
          <w:szCs w:val="44"/>
          <w:lang w:eastAsia="zh-CN"/>
        </w:rPr>
      </w:pPr>
      <w:r>
        <w:rPr>
          <w:rFonts w:hint="default" w:ascii="Times New Roman" w:hAnsi="Times New Roman" w:eastAsia="黑体" w:cs="Times New Roman"/>
          <w:snapToGrid/>
          <w:kern w:val="2"/>
          <w:sz w:val="44"/>
          <w:szCs w:val="44"/>
          <w:lang w:eastAsia="zh-CN"/>
        </w:rPr>
        <w:t>部门决算</w:t>
      </w:r>
    </w:p>
    <w:p w14:paraId="011F7500">
      <w:pPr>
        <w:pStyle w:val="2"/>
        <w:spacing w:line="242" w:lineRule="auto"/>
      </w:pPr>
    </w:p>
    <w:p w14:paraId="688A0D8F">
      <w:pPr>
        <w:pStyle w:val="2"/>
        <w:spacing w:line="242" w:lineRule="auto"/>
      </w:pPr>
    </w:p>
    <w:p w14:paraId="4B97BCBB">
      <w:pPr>
        <w:pStyle w:val="2"/>
        <w:spacing w:line="242" w:lineRule="auto"/>
      </w:pPr>
    </w:p>
    <w:p w14:paraId="602D776A">
      <w:pPr>
        <w:pStyle w:val="2"/>
        <w:spacing w:line="242" w:lineRule="auto"/>
      </w:pPr>
    </w:p>
    <w:p w14:paraId="4E83DC17">
      <w:pPr>
        <w:pStyle w:val="2"/>
        <w:spacing w:line="242" w:lineRule="auto"/>
      </w:pPr>
    </w:p>
    <w:p w14:paraId="1620C15D">
      <w:pPr>
        <w:pStyle w:val="2"/>
        <w:spacing w:line="242" w:lineRule="auto"/>
      </w:pPr>
    </w:p>
    <w:p w14:paraId="22060816">
      <w:pPr>
        <w:pStyle w:val="2"/>
        <w:spacing w:line="242" w:lineRule="auto"/>
      </w:pPr>
    </w:p>
    <w:p w14:paraId="3169FF9E">
      <w:pPr>
        <w:pStyle w:val="2"/>
        <w:spacing w:line="242" w:lineRule="auto"/>
      </w:pPr>
    </w:p>
    <w:p w14:paraId="5DB4A9D3">
      <w:pPr>
        <w:pStyle w:val="2"/>
        <w:spacing w:line="242" w:lineRule="auto"/>
      </w:pPr>
    </w:p>
    <w:p w14:paraId="6188A247">
      <w:pPr>
        <w:pStyle w:val="2"/>
        <w:spacing w:line="242" w:lineRule="auto"/>
      </w:pPr>
    </w:p>
    <w:p w14:paraId="1FD5DBB4">
      <w:pPr>
        <w:pStyle w:val="2"/>
        <w:spacing w:line="242" w:lineRule="auto"/>
      </w:pPr>
    </w:p>
    <w:p w14:paraId="7123FAD4">
      <w:pPr>
        <w:pStyle w:val="2"/>
        <w:spacing w:line="243" w:lineRule="auto"/>
      </w:pPr>
    </w:p>
    <w:p w14:paraId="21CC0D71">
      <w:pPr>
        <w:pStyle w:val="2"/>
        <w:spacing w:line="243" w:lineRule="auto"/>
      </w:pPr>
    </w:p>
    <w:p w14:paraId="3D1B397E">
      <w:pPr>
        <w:pStyle w:val="2"/>
        <w:spacing w:line="243" w:lineRule="auto"/>
      </w:pPr>
    </w:p>
    <w:p w14:paraId="5D492978">
      <w:pPr>
        <w:pStyle w:val="2"/>
        <w:spacing w:line="243" w:lineRule="auto"/>
      </w:pPr>
    </w:p>
    <w:p w14:paraId="5A77C529">
      <w:pPr>
        <w:pStyle w:val="2"/>
        <w:spacing w:line="243" w:lineRule="auto"/>
      </w:pPr>
    </w:p>
    <w:p w14:paraId="1C0BF8D0">
      <w:pPr>
        <w:pStyle w:val="2"/>
        <w:spacing w:line="243" w:lineRule="auto"/>
      </w:pPr>
    </w:p>
    <w:p w14:paraId="1D37A28E">
      <w:pPr>
        <w:pStyle w:val="2"/>
        <w:spacing w:line="243" w:lineRule="auto"/>
      </w:pPr>
    </w:p>
    <w:p w14:paraId="26278C3F">
      <w:pPr>
        <w:pStyle w:val="2"/>
        <w:spacing w:line="243" w:lineRule="auto"/>
      </w:pPr>
    </w:p>
    <w:p w14:paraId="0C8C7B8D">
      <w:pPr>
        <w:pStyle w:val="2"/>
        <w:spacing w:line="243" w:lineRule="auto"/>
      </w:pPr>
    </w:p>
    <w:p w14:paraId="1ED6914E">
      <w:pPr>
        <w:widowControl w:val="0"/>
        <w:kinsoku/>
        <w:autoSpaceDE/>
        <w:autoSpaceDN/>
        <w:adjustRightInd/>
        <w:snapToGrid/>
        <w:spacing w:line="240" w:lineRule="auto"/>
        <w:jc w:val="center"/>
        <w:textAlignment w:val="auto"/>
        <w:rPr>
          <w:rFonts w:hint="default" w:ascii="仿宋" w:hAnsi="仿宋" w:eastAsia="仿宋" w:cs="Arial"/>
          <w:snapToGrid/>
          <w:kern w:val="2"/>
          <w:sz w:val="32"/>
          <w:szCs w:val="32"/>
          <w:lang w:eastAsia="zh-CN"/>
        </w:rPr>
      </w:pPr>
      <w:r>
        <w:rPr>
          <w:rFonts w:hint="default" w:ascii="Times New Roman" w:hAnsi="Times New Roman" w:eastAsia="仿宋" w:cs="Times New Roman"/>
          <w:snapToGrid/>
          <w:kern w:val="2"/>
          <w:sz w:val="32"/>
          <w:szCs w:val="32"/>
          <w:lang w:eastAsia="zh-CN"/>
        </w:rPr>
        <w:t xml:space="preserve">2024 </w:t>
      </w:r>
      <w:r>
        <w:rPr>
          <w:rFonts w:hint="default" w:ascii="仿宋" w:hAnsi="仿宋" w:eastAsia="仿宋" w:cs="Arial"/>
          <w:snapToGrid/>
          <w:kern w:val="2"/>
          <w:sz w:val="32"/>
          <w:szCs w:val="32"/>
          <w:lang w:eastAsia="zh-CN"/>
        </w:rPr>
        <w:t xml:space="preserve">年 </w:t>
      </w:r>
      <w:r>
        <w:rPr>
          <w:rFonts w:hint="eastAsia" w:ascii="仿宋" w:hAnsi="仿宋" w:eastAsia="仿宋" w:cs="Arial"/>
          <w:snapToGrid/>
          <w:kern w:val="2"/>
          <w:sz w:val="32"/>
          <w:szCs w:val="32"/>
          <w:lang w:val="en-US" w:eastAsia="zh-CN"/>
        </w:rPr>
        <w:t>10</w:t>
      </w:r>
      <w:r>
        <w:rPr>
          <w:rFonts w:hint="default" w:ascii="仿宋" w:hAnsi="仿宋" w:eastAsia="仿宋" w:cs="Arial"/>
          <w:snapToGrid/>
          <w:kern w:val="2"/>
          <w:sz w:val="32"/>
          <w:szCs w:val="32"/>
          <w:lang w:eastAsia="zh-CN"/>
        </w:rPr>
        <w:t xml:space="preserve"> 月 </w:t>
      </w:r>
      <w:r>
        <w:rPr>
          <w:rFonts w:hint="eastAsia" w:ascii="仿宋" w:hAnsi="仿宋" w:eastAsia="仿宋" w:cs="Arial"/>
          <w:snapToGrid/>
          <w:kern w:val="2"/>
          <w:sz w:val="32"/>
          <w:szCs w:val="32"/>
          <w:lang w:val="en-US" w:eastAsia="zh-CN"/>
        </w:rPr>
        <w:t>25</w:t>
      </w:r>
      <w:r>
        <w:rPr>
          <w:rFonts w:hint="default" w:ascii="仿宋" w:hAnsi="仿宋" w:eastAsia="仿宋" w:cs="Arial"/>
          <w:snapToGrid/>
          <w:kern w:val="2"/>
          <w:sz w:val="32"/>
          <w:szCs w:val="32"/>
          <w:lang w:eastAsia="zh-CN"/>
        </w:rPr>
        <w:t xml:space="preserve"> 日</w:t>
      </w:r>
    </w:p>
    <w:p w14:paraId="6D616D3A">
      <w:pPr>
        <w:widowControl w:val="0"/>
        <w:kinsoku/>
        <w:autoSpaceDE/>
        <w:autoSpaceDN/>
        <w:adjustRightInd/>
        <w:snapToGrid/>
        <w:spacing w:line="240" w:lineRule="auto"/>
        <w:jc w:val="center"/>
        <w:textAlignment w:val="auto"/>
        <w:rPr>
          <w:rFonts w:ascii="仿宋" w:hAnsi="仿宋" w:eastAsia="仿宋" w:cs="Arial"/>
          <w:snapToGrid/>
          <w:kern w:val="2"/>
          <w:sz w:val="44"/>
          <w:szCs w:val="44"/>
          <w:lang w:eastAsia="zh-CN"/>
        </w:rPr>
        <w:sectPr>
          <w:footerReference r:id="rId5" w:type="default"/>
          <w:pgSz w:w="11907" w:h="16839"/>
          <w:pgMar w:top="1431" w:right="1785" w:bottom="1153" w:left="1785" w:header="0" w:footer="965" w:gutter="0"/>
          <w:cols w:space="720" w:num="1"/>
        </w:sectPr>
      </w:pPr>
    </w:p>
    <w:p w14:paraId="58DC17AE">
      <w:pPr>
        <w:pStyle w:val="2"/>
        <w:spacing w:line="289" w:lineRule="auto"/>
      </w:pPr>
    </w:p>
    <w:p w14:paraId="66B1449F">
      <w:pPr>
        <w:pStyle w:val="2"/>
        <w:spacing w:line="290" w:lineRule="auto"/>
      </w:pPr>
    </w:p>
    <w:p w14:paraId="3635358B">
      <w:pPr>
        <w:spacing w:before="140" w:line="223" w:lineRule="auto"/>
        <w:ind w:left="3502"/>
        <w:outlineLvl w:val="0"/>
        <w:rPr>
          <w:rFonts w:ascii="仿宋" w:hAnsi="仿宋" w:eastAsia="仿宋" w:cs="仿宋"/>
          <w:sz w:val="43"/>
          <w:szCs w:val="43"/>
        </w:rPr>
      </w:pPr>
      <w:r>
        <w:rPr>
          <w:rFonts w:hint="eastAsia" w:ascii="仿宋" w:hAnsi="仿宋" w:eastAsia="仿宋" w:cs="Times New Roman"/>
          <w:snapToGrid/>
          <w:kern w:val="2"/>
          <w:sz w:val="44"/>
          <w:szCs w:val="22"/>
          <w:lang w:eastAsia="zh-CN"/>
        </w:rPr>
        <w:t>目   录</w:t>
      </w:r>
    </w:p>
    <w:p w14:paraId="27B55C5A">
      <w:pPr>
        <w:pStyle w:val="2"/>
        <w:spacing w:line="341" w:lineRule="auto"/>
      </w:pPr>
    </w:p>
    <w:p w14:paraId="183EC639">
      <w:pPr>
        <w:pStyle w:val="2"/>
        <w:spacing w:line="342" w:lineRule="auto"/>
      </w:pPr>
    </w:p>
    <w:p w14:paraId="22238942">
      <w:pPr>
        <w:spacing w:before="101" w:line="223" w:lineRule="auto"/>
        <w:ind w:left="49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z w:val="31"/>
          <w:szCs w:val="31"/>
        </w:rPr>
        <w:t>第一部分</w:t>
      </w:r>
      <w:r>
        <w:rPr>
          <w:rFonts w:hint="default" w:ascii="Times New Roman" w:hAnsi="Times New Roman" w:eastAsia="仿宋_GB2312" w:cs="Times New Roman"/>
          <w:spacing w:val="18"/>
          <w:sz w:val="31"/>
          <w:szCs w:val="31"/>
        </w:rPr>
        <w:t xml:space="preserve">  </w:t>
      </w:r>
      <w:r>
        <w:rPr>
          <w:rFonts w:hint="default" w:ascii="Times New Roman" w:hAnsi="Times New Roman" w:eastAsia="仿宋_GB2312" w:cs="Times New Roman"/>
          <w:b/>
          <w:bCs/>
          <w:sz w:val="31"/>
          <w:szCs w:val="31"/>
        </w:rPr>
        <w:t>部门概况</w:t>
      </w:r>
    </w:p>
    <w:p w14:paraId="7D1E52FC">
      <w:pPr>
        <w:spacing w:before="249" w:line="223" w:lineRule="auto"/>
        <w:ind w:left="40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z w:val="31"/>
          <w:szCs w:val="31"/>
        </w:rPr>
        <w:t>一、部门职责</w:t>
      </w:r>
    </w:p>
    <w:p w14:paraId="5DB6AED2">
      <w:pPr>
        <w:spacing w:before="250" w:line="222" w:lineRule="auto"/>
        <w:ind w:left="45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二、机构设置及部门决算单位构成</w:t>
      </w:r>
    </w:p>
    <w:p w14:paraId="548DECEB">
      <w:pPr>
        <w:spacing w:before="250" w:line="223" w:lineRule="auto"/>
        <w:ind w:left="49"/>
        <w:outlineLvl w:val="1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pacing w:val="2"/>
          <w:sz w:val="31"/>
          <w:szCs w:val="31"/>
        </w:rPr>
        <w:t>第二部分</w:t>
      </w:r>
      <w:r>
        <w:rPr>
          <w:rFonts w:hint="default" w:ascii="Times New Roman" w:hAnsi="Times New Roman" w:eastAsia="仿宋_GB2312" w:cs="Times New Roman"/>
          <w:spacing w:val="2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b/>
          <w:bCs/>
          <w:spacing w:val="2"/>
          <w:sz w:val="31"/>
          <w:szCs w:val="31"/>
        </w:rPr>
        <w:t>2023</w:t>
      </w:r>
      <w:r>
        <w:rPr>
          <w:rFonts w:hint="default" w:ascii="Times New Roman" w:hAnsi="Times New Roman" w:eastAsia="仿宋_GB2312" w:cs="Times New Roman"/>
          <w:spacing w:val="-36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b/>
          <w:bCs/>
          <w:spacing w:val="2"/>
          <w:sz w:val="31"/>
          <w:szCs w:val="31"/>
        </w:rPr>
        <w:t>年度部门决算表</w:t>
      </w:r>
    </w:p>
    <w:p w14:paraId="15F2EAC2">
      <w:pPr>
        <w:spacing w:before="250" w:line="223" w:lineRule="auto"/>
        <w:ind w:left="40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一、收入支出决算总表</w:t>
      </w:r>
    </w:p>
    <w:p w14:paraId="3E6888F3">
      <w:pPr>
        <w:spacing w:before="250" w:line="223" w:lineRule="auto"/>
        <w:ind w:left="45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5"/>
          <w:sz w:val="31"/>
          <w:szCs w:val="31"/>
        </w:rPr>
        <w:t>二、收入决算表</w:t>
      </w:r>
    </w:p>
    <w:p w14:paraId="58649D7E">
      <w:pPr>
        <w:spacing w:before="249" w:line="223" w:lineRule="auto"/>
        <w:ind w:left="44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5"/>
          <w:sz w:val="31"/>
          <w:szCs w:val="31"/>
        </w:rPr>
        <w:t>三、支出决算表</w:t>
      </w:r>
    </w:p>
    <w:p w14:paraId="6E5537FC">
      <w:pPr>
        <w:spacing w:before="250" w:line="223" w:lineRule="auto"/>
        <w:ind w:left="73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5"/>
          <w:sz w:val="31"/>
          <w:szCs w:val="31"/>
        </w:rPr>
        <w:t>四、财政拨款收入支出决算总表</w:t>
      </w:r>
    </w:p>
    <w:p w14:paraId="45D4FDAA">
      <w:pPr>
        <w:spacing w:before="249" w:line="223" w:lineRule="auto"/>
        <w:ind w:left="40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五、一般公共预算财政拨款支出决算表</w:t>
      </w:r>
    </w:p>
    <w:p w14:paraId="12554B9C">
      <w:pPr>
        <w:spacing w:before="250" w:line="223" w:lineRule="auto"/>
        <w:ind w:left="38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六、一般公共预算财政拨款基本支出决算明细表</w:t>
      </w:r>
    </w:p>
    <w:p w14:paraId="07F5335F">
      <w:pPr>
        <w:spacing w:before="251" w:line="221" w:lineRule="auto"/>
        <w:ind w:left="41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七、政府性基金预算财政拨款收入支出决算表</w:t>
      </w:r>
    </w:p>
    <w:p w14:paraId="28484FF4">
      <w:pPr>
        <w:spacing w:before="252" w:line="223" w:lineRule="auto"/>
        <w:ind w:left="34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5"/>
          <w:sz w:val="31"/>
          <w:szCs w:val="31"/>
        </w:rPr>
        <w:t>八、</w:t>
      </w:r>
      <w:r>
        <w:rPr>
          <w:rFonts w:hint="default" w:ascii="Times New Roman" w:hAnsi="Times New Roman" w:eastAsia="仿宋_GB2312" w:cs="Times New Roman"/>
          <w:spacing w:val="-82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5"/>
          <w:sz w:val="31"/>
          <w:szCs w:val="31"/>
        </w:rPr>
        <w:t>国有资本经营预算财政拨款支出决算表</w:t>
      </w:r>
    </w:p>
    <w:p w14:paraId="4E593281">
      <w:pPr>
        <w:spacing w:before="249" w:line="223" w:lineRule="auto"/>
        <w:ind w:left="47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九、财政拨款“三公”经费支出决算表</w:t>
      </w:r>
    </w:p>
    <w:p w14:paraId="49738A68">
      <w:pPr>
        <w:spacing w:before="250" w:line="223" w:lineRule="auto"/>
        <w:ind w:left="44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十、部门预算项目支出绩效自评表</w:t>
      </w:r>
    </w:p>
    <w:p w14:paraId="47A5AD29">
      <w:pPr>
        <w:spacing w:before="249" w:line="223" w:lineRule="auto"/>
        <w:ind w:left="49"/>
        <w:outlineLvl w:val="1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pacing w:val="3"/>
          <w:sz w:val="31"/>
          <w:szCs w:val="31"/>
        </w:rPr>
        <w:t>第三部分</w:t>
      </w:r>
      <w:r>
        <w:rPr>
          <w:rFonts w:hint="default" w:ascii="Times New Roman" w:hAnsi="Times New Roman" w:eastAsia="仿宋_GB2312" w:cs="Times New Roman"/>
          <w:spacing w:val="3"/>
          <w:sz w:val="31"/>
          <w:szCs w:val="31"/>
        </w:rPr>
        <w:t xml:space="preserve">  </w:t>
      </w:r>
      <w:r>
        <w:rPr>
          <w:rFonts w:hint="default" w:ascii="Times New Roman" w:hAnsi="Times New Roman" w:eastAsia="仿宋_GB2312" w:cs="Times New Roman"/>
          <w:b/>
          <w:bCs/>
          <w:spacing w:val="3"/>
          <w:sz w:val="31"/>
          <w:szCs w:val="31"/>
        </w:rPr>
        <w:t>2023</w:t>
      </w:r>
      <w:r>
        <w:rPr>
          <w:rFonts w:hint="default" w:ascii="Times New Roman" w:hAnsi="Times New Roman" w:eastAsia="仿宋_GB2312" w:cs="Times New Roman"/>
          <w:spacing w:val="-37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b/>
          <w:bCs/>
          <w:spacing w:val="3"/>
          <w:sz w:val="31"/>
          <w:szCs w:val="31"/>
        </w:rPr>
        <w:t>年度部门决算情况说明</w:t>
      </w:r>
    </w:p>
    <w:p w14:paraId="0BB8BDA4">
      <w:pPr>
        <w:spacing w:before="250" w:line="223" w:lineRule="auto"/>
        <w:ind w:left="40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5"/>
          <w:sz w:val="31"/>
          <w:szCs w:val="31"/>
        </w:rPr>
        <w:t>一、收入支出决算总体情况说明</w:t>
      </w:r>
    </w:p>
    <w:p w14:paraId="61F0F718">
      <w:pPr>
        <w:spacing w:before="250" w:line="223" w:lineRule="auto"/>
        <w:ind w:left="45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二、收入决算情况说明</w:t>
      </w:r>
    </w:p>
    <w:p w14:paraId="440B545A">
      <w:pPr>
        <w:spacing w:before="250" w:line="223" w:lineRule="auto"/>
        <w:ind w:left="44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三、支出决算情况说明</w:t>
      </w:r>
    </w:p>
    <w:p w14:paraId="374D8597">
      <w:pPr>
        <w:spacing w:before="249" w:line="223" w:lineRule="auto"/>
        <w:ind w:left="73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四、财政拨款收入支出决算总体情况说明</w:t>
      </w:r>
    </w:p>
    <w:p w14:paraId="2625D32C">
      <w:pPr>
        <w:spacing w:line="223" w:lineRule="auto"/>
        <w:rPr>
          <w:rFonts w:hint="default" w:ascii="Times New Roman" w:hAnsi="Times New Roman" w:eastAsia="仿宋_GB2312" w:cs="Times New Roman"/>
          <w:sz w:val="31"/>
          <w:szCs w:val="31"/>
        </w:rPr>
        <w:sectPr>
          <w:footerReference r:id="rId6" w:type="default"/>
          <w:pgSz w:w="11907" w:h="16839"/>
          <w:pgMar w:top="1431" w:right="1785" w:bottom="1153" w:left="1785" w:header="0" w:footer="965" w:gutter="0"/>
          <w:cols w:space="720" w:num="1"/>
        </w:sectPr>
      </w:pPr>
    </w:p>
    <w:p w14:paraId="6DE47465">
      <w:pPr>
        <w:spacing w:before="159" w:line="223" w:lineRule="auto"/>
        <w:ind w:left="40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五、一般公共预算财政拨款支出决算情况说明</w:t>
      </w:r>
    </w:p>
    <w:p w14:paraId="490EEEAD">
      <w:pPr>
        <w:spacing w:before="249" w:line="223" w:lineRule="auto"/>
        <w:ind w:left="38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六、一般公共预算财政拨款基本支出决算情况说明</w:t>
      </w:r>
    </w:p>
    <w:p w14:paraId="2AE5EF9A">
      <w:pPr>
        <w:spacing w:before="250" w:line="221" w:lineRule="auto"/>
        <w:ind w:left="41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七、政府性基金预算财政拨款收入支出决算情况说明</w:t>
      </w:r>
    </w:p>
    <w:p w14:paraId="6F9D939D">
      <w:pPr>
        <w:spacing w:before="251" w:line="223" w:lineRule="auto"/>
        <w:ind w:left="34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八、</w:t>
      </w:r>
      <w:r>
        <w:rPr>
          <w:rFonts w:hint="default" w:ascii="Times New Roman" w:hAnsi="Times New Roman" w:eastAsia="仿宋_GB2312" w:cs="Times New Roman"/>
          <w:spacing w:val="-91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国有资本经营预算财政拨款支出决算情况说明</w:t>
      </w:r>
    </w:p>
    <w:p w14:paraId="66FA0E3A">
      <w:pPr>
        <w:spacing w:before="250" w:line="223" w:lineRule="auto"/>
        <w:ind w:left="47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九、财政拨款“三公”经费支出决算情况说明</w:t>
      </w:r>
    </w:p>
    <w:p w14:paraId="10A05F20">
      <w:pPr>
        <w:spacing w:before="249" w:line="224" w:lineRule="auto"/>
        <w:ind w:left="44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十、绩效评价情况说明</w:t>
      </w:r>
    </w:p>
    <w:p w14:paraId="4AD887C9">
      <w:pPr>
        <w:spacing w:before="248" w:line="223" w:lineRule="auto"/>
        <w:ind w:left="44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十一、其他重要事项情况说明</w:t>
      </w:r>
    </w:p>
    <w:p w14:paraId="360DC758">
      <w:pPr>
        <w:spacing w:before="250" w:line="224" w:lineRule="auto"/>
        <w:ind w:left="49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z w:val="31"/>
          <w:szCs w:val="31"/>
        </w:rPr>
        <w:t>第四部分</w:t>
      </w:r>
      <w:r>
        <w:rPr>
          <w:rFonts w:hint="default" w:ascii="Times New Roman" w:hAnsi="Times New Roman" w:eastAsia="仿宋_GB2312" w:cs="Times New Roman"/>
          <w:spacing w:val="18"/>
          <w:sz w:val="31"/>
          <w:szCs w:val="31"/>
        </w:rPr>
        <w:t xml:space="preserve">  </w:t>
      </w:r>
      <w:r>
        <w:rPr>
          <w:rFonts w:hint="default" w:ascii="Times New Roman" w:hAnsi="Times New Roman" w:eastAsia="仿宋_GB2312" w:cs="Times New Roman"/>
          <w:b/>
          <w:bCs/>
          <w:sz w:val="31"/>
          <w:szCs w:val="31"/>
        </w:rPr>
        <w:t>名词解释</w:t>
      </w:r>
    </w:p>
    <w:p w14:paraId="3B3D6D44">
      <w:pPr>
        <w:spacing w:line="224" w:lineRule="auto"/>
        <w:rPr>
          <w:rFonts w:hint="default" w:ascii="Times New Roman" w:hAnsi="Times New Roman" w:eastAsia="仿宋_GB2312" w:cs="Times New Roman"/>
          <w:sz w:val="31"/>
          <w:szCs w:val="31"/>
        </w:rPr>
        <w:sectPr>
          <w:footerReference r:id="rId7" w:type="default"/>
          <w:pgSz w:w="11907" w:h="16839"/>
          <w:pgMar w:top="1431" w:right="1785" w:bottom="1153" w:left="1785" w:header="0" w:footer="965" w:gutter="0"/>
          <w:cols w:space="720" w:num="1"/>
        </w:sectPr>
      </w:pPr>
    </w:p>
    <w:p w14:paraId="453D766C">
      <w:pPr>
        <w:pStyle w:val="2"/>
        <w:spacing w:line="328" w:lineRule="auto"/>
      </w:pPr>
    </w:p>
    <w:p w14:paraId="696471FA">
      <w:pPr>
        <w:pStyle w:val="2"/>
        <w:spacing w:line="328" w:lineRule="auto"/>
      </w:pPr>
    </w:p>
    <w:p w14:paraId="00AC6016">
      <w:pPr>
        <w:spacing w:before="189" w:line="443" w:lineRule="exact"/>
        <w:ind w:left="2215"/>
        <w:outlineLvl w:val="0"/>
        <w:rPr>
          <w:rFonts w:hint="default" w:ascii="Times New Roman" w:hAnsi="Times New Roman" w:eastAsia="仿宋_GB2312" w:cs="Times New Roman"/>
          <w:b/>
          <w:bCs/>
          <w:sz w:val="44"/>
          <w:szCs w:val="44"/>
        </w:rPr>
      </w:pPr>
      <w:r>
        <w:rPr>
          <w:rFonts w:hint="default" w:ascii="Times New Roman" w:hAnsi="Times New Roman" w:eastAsia="仿宋_GB2312" w:cs="Times New Roman"/>
          <w:b/>
          <w:bCs/>
          <w:spacing w:val="1"/>
          <w:position w:val="-2"/>
          <w:sz w:val="44"/>
          <w:szCs w:val="44"/>
        </w:rPr>
        <w:t>第一部分</w:t>
      </w:r>
      <w:r>
        <w:rPr>
          <w:rFonts w:hint="default" w:ascii="Times New Roman" w:hAnsi="Times New Roman" w:eastAsia="仿宋_GB2312" w:cs="Times New Roman"/>
          <w:b/>
          <w:bCs/>
          <w:spacing w:val="14"/>
          <w:position w:val="-2"/>
          <w:sz w:val="44"/>
          <w:szCs w:val="44"/>
        </w:rPr>
        <w:t xml:space="preserve">   </w:t>
      </w:r>
      <w:r>
        <w:rPr>
          <w:rFonts w:hint="default" w:ascii="Times New Roman" w:hAnsi="Times New Roman" w:eastAsia="仿宋_GB2312" w:cs="Times New Roman"/>
          <w:b/>
          <w:bCs/>
          <w:spacing w:val="1"/>
          <w:position w:val="-2"/>
          <w:sz w:val="44"/>
          <w:szCs w:val="44"/>
        </w:rPr>
        <w:t>部门概况</w:t>
      </w:r>
    </w:p>
    <w:p w14:paraId="69F4AA85">
      <w:pPr>
        <w:pStyle w:val="2"/>
        <w:spacing w:line="314" w:lineRule="auto"/>
        <w:rPr>
          <w:rFonts w:hint="default" w:ascii="Times New Roman" w:hAnsi="Times New Roman" w:eastAsia="仿宋_GB2312" w:cs="Times New Roman"/>
        </w:rPr>
      </w:pPr>
    </w:p>
    <w:p w14:paraId="6134E371">
      <w:pPr>
        <w:pStyle w:val="2"/>
        <w:spacing w:line="314" w:lineRule="auto"/>
        <w:rPr>
          <w:rFonts w:hint="default" w:ascii="Times New Roman" w:hAnsi="Times New Roman" w:eastAsia="仿宋_GB2312" w:cs="Times New Roman"/>
        </w:rPr>
      </w:pPr>
    </w:p>
    <w:p w14:paraId="5B152342">
      <w:pPr>
        <w:pStyle w:val="2"/>
        <w:spacing w:line="315" w:lineRule="auto"/>
        <w:rPr>
          <w:rFonts w:hint="default" w:ascii="Times New Roman" w:hAnsi="Times New Roman" w:eastAsia="仿宋_GB2312" w:cs="Times New Roman"/>
        </w:rPr>
      </w:pPr>
    </w:p>
    <w:p w14:paraId="6E4EB18B">
      <w:pPr>
        <w:spacing w:before="101" w:line="224" w:lineRule="auto"/>
        <w:ind w:left="751"/>
        <w:rPr>
          <w:rFonts w:hint="default" w:ascii="Times New Roman" w:hAnsi="Times New Roman" w:eastAsia="仿宋_GB2312" w:cs="Times New Roman"/>
          <w:b/>
          <w:bCs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pacing w:val="7"/>
          <w:sz w:val="31"/>
          <w:szCs w:val="31"/>
        </w:rPr>
        <w:t>一、部门主要职责</w:t>
      </w:r>
    </w:p>
    <w:p w14:paraId="2E25E0EB">
      <w:pPr>
        <w:pStyle w:val="2"/>
        <w:spacing w:line="347" w:lineRule="auto"/>
        <w:rPr>
          <w:rFonts w:hint="default" w:ascii="Times New Roman" w:hAnsi="Times New Roman" w:eastAsia="仿宋_GB2312" w:cs="Times New Roman"/>
        </w:rPr>
      </w:pPr>
    </w:p>
    <w:p w14:paraId="770E0AAC">
      <w:pPr>
        <w:spacing w:before="101" w:line="218" w:lineRule="exact"/>
        <w:ind w:left="1026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-8"/>
          <w:position w:val="-13"/>
          <w:sz w:val="31"/>
          <w:szCs w:val="31"/>
        </w:rPr>
        <w:t>……</w:t>
      </w:r>
    </w:p>
    <w:p w14:paraId="3106BE4D">
      <w:pPr>
        <w:ind w:firstLine="640" w:firstLineChars="200"/>
        <w:rPr>
          <w:rStyle w:val="9"/>
          <w:rFonts w:hint="eastAsia" w:ascii="仿宋" w:hAnsi="仿宋" w:eastAsia="仿宋" w:cs="仿宋"/>
          <w:sz w:val="32"/>
          <w:szCs w:val="32"/>
        </w:rPr>
      </w:pPr>
      <w:r>
        <w:rPr>
          <w:rStyle w:val="9"/>
          <w:rFonts w:hint="eastAsia" w:ascii="仿宋" w:hAnsi="仿宋" w:eastAsia="仿宋" w:cs="仿宋"/>
          <w:sz w:val="32"/>
          <w:szCs w:val="32"/>
        </w:rPr>
        <w:t>（一）按照《中华人民共和国教育法》的有关要求，承担</w:t>
      </w:r>
      <w:r>
        <w:rPr>
          <w:rStyle w:val="9"/>
          <w:rFonts w:hint="eastAsia" w:ascii="仿宋" w:hAnsi="仿宋" w:eastAsia="仿宋" w:cs="仿宋"/>
          <w:sz w:val="32"/>
          <w:szCs w:val="32"/>
          <w:lang w:eastAsia="zh-CN"/>
        </w:rPr>
        <w:t>初中</w:t>
      </w:r>
      <w:r>
        <w:rPr>
          <w:rStyle w:val="9"/>
          <w:rFonts w:hint="eastAsia" w:ascii="仿宋" w:hAnsi="仿宋" w:eastAsia="仿宋" w:cs="仿宋"/>
          <w:sz w:val="32"/>
          <w:szCs w:val="32"/>
        </w:rPr>
        <w:t>教育教学任务，实现其教育教学目标；负责对受教育者德、智、体、美、劳等</w:t>
      </w:r>
      <w:r>
        <w:rPr>
          <w:rStyle w:val="9"/>
          <w:rFonts w:hint="eastAsia" w:ascii="仿宋" w:hAnsi="仿宋" w:eastAsia="仿宋" w:cs="仿宋"/>
          <w:sz w:val="32"/>
          <w:szCs w:val="32"/>
          <w:lang w:eastAsia="zh-CN"/>
        </w:rPr>
        <w:t>诸</w:t>
      </w:r>
      <w:r>
        <w:rPr>
          <w:rStyle w:val="9"/>
          <w:rFonts w:hint="eastAsia" w:ascii="仿宋" w:hAnsi="仿宋" w:eastAsia="仿宋" w:cs="仿宋"/>
          <w:sz w:val="32"/>
          <w:szCs w:val="32"/>
        </w:rPr>
        <w:t xml:space="preserve">方面进行系统教育、训练和培养；负责加强师资队伍建设，开展教职工思想政治教育、业务进修和教育科研活动，不断提高教职工队伍素质；负责管理学校校产、设备、经费等，努力改善办学条件。 </w:t>
      </w:r>
    </w:p>
    <w:p w14:paraId="21C0A5DC">
      <w:pPr>
        <w:ind w:firstLine="640" w:firstLineChars="200"/>
        <w:rPr>
          <w:rFonts w:hint="eastAsia" w:ascii="仿宋" w:hAnsi="仿宋" w:eastAsia="仿宋" w:cs="仿宋"/>
          <w:sz w:val="48"/>
          <w:szCs w:val="28"/>
        </w:rPr>
      </w:pPr>
      <w:r>
        <w:rPr>
          <w:rStyle w:val="9"/>
          <w:rFonts w:hint="eastAsia" w:ascii="仿宋" w:hAnsi="仿宋" w:eastAsia="仿宋" w:cs="仿宋"/>
          <w:sz w:val="32"/>
          <w:szCs w:val="32"/>
        </w:rPr>
        <w:t>（二）完成市委、市政府交办的其他工作。</w:t>
      </w:r>
    </w:p>
    <w:p w14:paraId="48DFBE20">
      <w:pPr>
        <w:spacing w:before="251" w:line="224" w:lineRule="auto"/>
        <w:ind w:left="672"/>
        <w:rPr>
          <w:rFonts w:hint="default" w:ascii="Times New Roman" w:hAnsi="Times New Roman" w:eastAsia="仿宋_GB2312" w:cs="Times New Roman"/>
          <w:b/>
          <w:bCs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pacing w:val="8"/>
          <w:sz w:val="31"/>
          <w:szCs w:val="31"/>
        </w:rPr>
        <w:t>二、机构设置及部门决算单位构成</w:t>
      </w:r>
    </w:p>
    <w:p w14:paraId="5BAF6D5A">
      <w:pPr>
        <w:ind w:firstLine="640" w:firstLineChars="200"/>
        <w:rPr>
          <w:rFonts w:hint="eastAsia" w:ascii="仿宋" w:hAnsi="仿宋" w:eastAsia="仿宋"/>
          <w:sz w:val="32"/>
        </w:rPr>
      </w:pPr>
      <w:r>
        <w:rPr>
          <w:rFonts w:hint="eastAsia" w:ascii="仿宋" w:hAnsi="仿宋" w:eastAsia="仿宋"/>
          <w:sz w:val="32"/>
        </w:rPr>
        <w:t>根据上述职责，</w:t>
      </w:r>
      <w:r>
        <w:rPr>
          <w:rFonts w:hint="eastAsia" w:ascii="仿宋" w:hAnsi="仿宋" w:eastAsia="仿宋"/>
          <w:sz w:val="32"/>
          <w:szCs w:val="30"/>
          <w:lang w:eastAsia="zh-CN"/>
        </w:rPr>
        <w:t>榆树市黑林镇谢家中学校无</w:t>
      </w:r>
      <w:r>
        <w:rPr>
          <w:rFonts w:hint="eastAsia" w:ascii="仿宋" w:hAnsi="仿宋" w:eastAsia="仿宋"/>
          <w:sz w:val="32"/>
        </w:rPr>
        <w:t>内设机构。</w:t>
      </w:r>
    </w:p>
    <w:p w14:paraId="67403F49">
      <w:pPr>
        <w:ind w:firstLine="640" w:firstLineChars="200"/>
        <w:rPr>
          <w:rFonts w:hint="eastAsia" w:ascii="仿宋" w:hAnsi="仿宋" w:eastAsia="仿宋"/>
          <w:sz w:val="32"/>
        </w:rPr>
      </w:pPr>
      <w:r>
        <w:rPr>
          <w:rFonts w:hint="eastAsia" w:ascii="仿宋" w:hAnsi="仿宋" w:eastAsia="仿宋"/>
          <w:sz w:val="32"/>
        </w:rPr>
        <w:t>纳入</w:t>
      </w:r>
      <w:r>
        <w:rPr>
          <w:rFonts w:hint="eastAsia" w:ascii="仿宋" w:hAnsi="仿宋" w:eastAsia="仿宋"/>
          <w:sz w:val="32"/>
          <w:szCs w:val="30"/>
          <w:lang w:eastAsia="zh-CN"/>
        </w:rPr>
        <w:t>榆树市黑林镇谢家中学校</w:t>
      </w:r>
      <w:r>
        <w:rPr>
          <w:rFonts w:ascii="仿宋" w:hAnsi="仿宋" w:eastAsia="仿宋"/>
          <w:sz w:val="32"/>
        </w:rPr>
        <w:t>202</w:t>
      </w:r>
      <w:r>
        <w:rPr>
          <w:rFonts w:hint="eastAsia" w:ascii="仿宋" w:hAnsi="仿宋" w:eastAsia="仿宋"/>
          <w:sz w:val="32"/>
          <w:lang w:val="en-US" w:eastAsia="zh-CN"/>
        </w:rPr>
        <w:t>3</w:t>
      </w:r>
      <w:r>
        <w:rPr>
          <w:rFonts w:ascii="仿宋" w:hAnsi="仿宋" w:eastAsia="仿宋"/>
          <w:sz w:val="32"/>
        </w:rPr>
        <w:t>年</w:t>
      </w:r>
      <w:r>
        <w:rPr>
          <w:rFonts w:hint="eastAsia" w:ascii="仿宋" w:hAnsi="仿宋" w:eastAsia="仿宋"/>
          <w:sz w:val="32"/>
        </w:rPr>
        <w:t>度部门决算编制范围的单位包括：</w:t>
      </w:r>
    </w:p>
    <w:p w14:paraId="45343D23">
      <w:pPr>
        <w:ind w:firstLine="640" w:firstLineChars="200"/>
        <w:rPr>
          <w:rFonts w:hint="eastAsia" w:ascii="仿宋" w:hAnsi="仿宋" w:eastAsia="仿宋"/>
          <w:sz w:val="32"/>
          <w:lang w:eastAsia="zh-CN"/>
        </w:rPr>
      </w:pPr>
      <w:r>
        <w:rPr>
          <w:rFonts w:hint="eastAsia" w:ascii="仿宋" w:hAnsi="仿宋" w:eastAsia="仿宋"/>
          <w:sz w:val="32"/>
        </w:rPr>
        <w:t>1.</w:t>
      </w:r>
      <w:r>
        <w:rPr>
          <w:rFonts w:hint="eastAsia" w:ascii="仿宋" w:hAnsi="仿宋" w:eastAsia="仿宋"/>
          <w:sz w:val="32"/>
          <w:szCs w:val="30"/>
          <w:lang w:eastAsia="zh-CN"/>
        </w:rPr>
        <w:t>榆树市黑林镇谢家中学校</w:t>
      </w:r>
    </w:p>
    <w:p w14:paraId="42FB684D">
      <w:pPr>
        <w:ind w:firstLine="640" w:firstLineChars="200"/>
        <w:rPr>
          <w:rFonts w:hint="eastAsia" w:ascii="仿宋" w:hAnsi="仿宋" w:eastAsia="仿宋"/>
          <w:sz w:val="32"/>
        </w:rPr>
      </w:pPr>
      <w:r>
        <w:rPr>
          <w:rFonts w:hint="eastAsia" w:ascii="仿宋" w:hAnsi="仿宋" w:eastAsia="仿宋"/>
          <w:sz w:val="32"/>
        </w:rPr>
        <w:t>2.……</w:t>
      </w:r>
    </w:p>
    <w:p w14:paraId="57ED1F0A">
      <w:pPr>
        <w:ind w:firstLine="640" w:firstLineChars="200"/>
        <w:rPr>
          <w:rFonts w:hint="eastAsia" w:ascii="仿宋" w:hAnsi="仿宋" w:eastAsia="仿宋"/>
          <w:sz w:val="44"/>
        </w:rPr>
      </w:pPr>
      <w:r>
        <w:rPr>
          <w:rFonts w:hint="eastAsia" w:ascii="仿宋" w:hAnsi="仿宋" w:eastAsia="仿宋"/>
          <w:sz w:val="32"/>
        </w:rPr>
        <w:t>3.……</w:t>
      </w:r>
    </w:p>
    <w:p w14:paraId="4EC7AA7D">
      <w:pPr>
        <w:pStyle w:val="2"/>
        <w:spacing w:line="328" w:lineRule="auto"/>
        <w:rPr>
          <w:rFonts w:hint="default" w:ascii="Times New Roman" w:hAnsi="Times New Roman" w:eastAsia="仿宋_GB2312" w:cs="Times New Roman"/>
        </w:rPr>
      </w:pPr>
    </w:p>
    <w:p w14:paraId="01CB53D0">
      <w:pPr>
        <w:pStyle w:val="2"/>
        <w:spacing w:line="328" w:lineRule="auto"/>
        <w:rPr>
          <w:rFonts w:hint="default" w:ascii="Times New Roman" w:hAnsi="Times New Roman" w:eastAsia="仿宋_GB2312" w:cs="Times New Roman"/>
        </w:rPr>
      </w:pPr>
    </w:p>
    <w:p w14:paraId="0E45A684">
      <w:pPr>
        <w:spacing w:before="189" w:line="186" w:lineRule="auto"/>
        <w:ind w:left="1142"/>
        <w:rPr>
          <w:rFonts w:hint="default" w:ascii="Times New Roman" w:hAnsi="Times New Roman" w:eastAsia="仿宋_GB2312" w:cs="Times New Roman"/>
          <w:b/>
          <w:bCs/>
          <w:sz w:val="44"/>
          <w:szCs w:val="44"/>
        </w:rPr>
      </w:pPr>
    </w:p>
    <w:p w14:paraId="383586AB">
      <w:pPr>
        <w:spacing w:before="189" w:line="186" w:lineRule="auto"/>
        <w:ind w:left="1142"/>
        <w:rPr>
          <w:rFonts w:hint="default" w:ascii="Times New Roman" w:hAnsi="Times New Roman" w:eastAsia="仿宋_GB2312" w:cs="Times New Roman"/>
          <w:b/>
          <w:bCs/>
          <w:sz w:val="44"/>
          <w:szCs w:val="44"/>
        </w:rPr>
      </w:pPr>
    </w:p>
    <w:p w14:paraId="1D1C681D">
      <w:pPr>
        <w:spacing w:before="189" w:line="186" w:lineRule="auto"/>
        <w:ind w:left="1142"/>
        <w:rPr>
          <w:rFonts w:hint="default" w:ascii="Times New Roman" w:hAnsi="Times New Roman" w:eastAsia="仿宋_GB2312" w:cs="Times New Roman"/>
          <w:b/>
          <w:bCs/>
          <w:sz w:val="44"/>
          <w:szCs w:val="44"/>
        </w:rPr>
      </w:pPr>
    </w:p>
    <w:p w14:paraId="4B1D61D8">
      <w:pPr>
        <w:spacing w:before="189" w:line="186" w:lineRule="auto"/>
        <w:ind w:left="1142"/>
        <w:rPr>
          <w:rFonts w:hint="default" w:ascii="Times New Roman" w:hAnsi="Times New Roman" w:eastAsia="仿宋_GB2312" w:cs="Times New Roman"/>
          <w:b/>
          <w:bCs/>
          <w:sz w:val="44"/>
          <w:szCs w:val="44"/>
        </w:rPr>
      </w:pPr>
    </w:p>
    <w:p w14:paraId="2E371809">
      <w:pPr>
        <w:spacing w:before="189" w:line="186" w:lineRule="auto"/>
        <w:ind w:left="1142"/>
        <w:rPr>
          <w:rFonts w:hint="default" w:ascii="Times New Roman" w:hAnsi="Times New Roman" w:eastAsia="仿宋_GB2312" w:cs="Times New Roman"/>
          <w:b/>
          <w:bCs/>
          <w:sz w:val="44"/>
          <w:szCs w:val="44"/>
        </w:rPr>
      </w:pPr>
    </w:p>
    <w:p w14:paraId="6A8C32EC">
      <w:pPr>
        <w:spacing w:before="189" w:line="186" w:lineRule="auto"/>
        <w:ind w:left="1142"/>
        <w:rPr>
          <w:rFonts w:hint="default" w:ascii="Times New Roman" w:hAnsi="Times New Roman" w:eastAsia="仿宋_GB2312" w:cs="Times New Roman"/>
          <w:b/>
          <w:bCs/>
          <w:sz w:val="44"/>
          <w:szCs w:val="44"/>
        </w:rPr>
      </w:pPr>
    </w:p>
    <w:p w14:paraId="3E0124B9">
      <w:pPr>
        <w:spacing w:before="189" w:line="186" w:lineRule="auto"/>
        <w:ind w:left="1142"/>
        <w:rPr>
          <w:rFonts w:hint="default" w:ascii="Times New Roman" w:hAnsi="Times New Roman" w:eastAsia="仿宋_GB2312" w:cs="Times New Roman"/>
          <w:b/>
          <w:bCs/>
          <w:sz w:val="44"/>
          <w:szCs w:val="44"/>
        </w:rPr>
      </w:pPr>
    </w:p>
    <w:p w14:paraId="12D803E6">
      <w:pPr>
        <w:spacing w:before="189" w:line="186" w:lineRule="auto"/>
        <w:ind w:left="1142"/>
        <w:rPr>
          <w:rFonts w:hint="default" w:ascii="Times New Roman" w:hAnsi="Times New Roman" w:eastAsia="仿宋_GB2312" w:cs="Times New Roman"/>
          <w:b/>
          <w:bCs/>
          <w:sz w:val="44"/>
          <w:szCs w:val="44"/>
        </w:rPr>
      </w:pPr>
      <w:r>
        <w:rPr>
          <w:rFonts w:hint="default" w:ascii="Times New Roman" w:hAnsi="Times New Roman" w:eastAsia="仿宋_GB2312" w:cs="Times New Roman"/>
          <w:b/>
          <w:bCs/>
          <w:sz w:val="44"/>
          <w:szCs w:val="44"/>
        </w:rPr>
        <w:t>第二部分</w:t>
      </w:r>
      <w:r>
        <w:rPr>
          <w:rFonts w:hint="default" w:ascii="Times New Roman" w:hAnsi="Times New Roman" w:eastAsia="仿宋_GB2312" w:cs="Times New Roman"/>
          <w:b/>
          <w:bCs/>
          <w:spacing w:val="111"/>
          <w:sz w:val="44"/>
          <w:szCs w:val="44"/>
        </w:rPr>
        <w:t xml:space="preserve"> </w:t>
      </w:r>
      <w:r>
        <w:rPr>
          <w:rFonts w:hint="default" w:ascii="Times New Roman" w:hAnsi="Times New Roman" w:eastAsia="仿宋_GB2312" w:cs="Times New Roman"/>
          <w:b/>
          <w:bCs/>
          <w:sz w:val="43"/>
          <w:szCs w:val="43"/>
        </w:rPr>
        <w:t>2023</w:t>
      </w:r>
      <w:r>
        <w:rPr>
          <w:rFonts w:hint="default" w:ascii="Times New Roman" w:hAnsi="Times New Roman" w:eastAsia="仿宋_GB2312" w:cs="Times New Roman"/>
          <w:b/>
          <w:bCs/>
          <w:spacing w:val="-103"/>
          <w:sz w:val="43"/>
          <w:szCs w:val="43"/>
        </w:rPr>
        <w:t xml:space="preserve"> </w:t>
      </w:r>
      <w:r>
        <w:rPr>
          <w:rFonts w:hint="default" w:ascii="Times New Roman" w:hAnsi="Times New Roman" w:eastAsia="仿宋_GB2312" w:cs="Times New Roman"/>
          <w:b/>
          <w:bCs/>
          <w:sz w:val="44"/>
          <w:szCs w:val="44"/>
        </w:rPr>
        <w:t>年度部门决算表</w:t>
      </w:r>
    </w:p>
    <w:p w14:paraId="56D5FF6E">
      <w:pPr>
        <w:pStyle w:val="2"/>
        <w:spacing w:line="268" w:lineRule="auto"/>
        <w:rPr>
          <w:rFonts w:hint="default" w:ascii="Times New Roman" w:hAnsi="Times New Roman" w:eastAsia="仿宋_GB2312" w:cs="Times New Roman"/>
        </w:rPr>
      </w:pPr>
    </w:p>
    <w:p w14:paraId="299A49F9">
      <w:pPr>
        <w:pStyle w:val="2"/>
        <w:spacing w:line="268" w:lineRule="auto"/>
        <w:rPr>
          <w:rFonts w:hint="default" w:ascii="Times New Roman" w:hAnsi="Times New Roman" w:eastAsia="仿宋_GB2312" w:cs="Times New Roman"/>
        </w:rPr>
      </w:pPr>
    </w:p>
    <w:p w14:paraId="1D04E47E">
      <w:pPr>
        <w:pStyle w:val="2"/>
        <w:spacing w:line="268" w:lineRule="auto"/>
        <w:rPr>
          <w:rFonts w:hint="default" w:ascii="Times New Roman" w:hAnsi="Times New Roman" w:eastAsia="仿宋_GB2312" w:cs="Times New Roman"/>
        </w:rPr>
      </w:pPr>
    </w:p>
    <w:p w14:paraId="3BF2B302">
      <w:pPr>
        <w:numPr>
          <w:ilvl w:val="0"/>
          <w:numId w:val="1"/>
        </w:numPr>
        <w:spacing w:before="100" w:line="224" w:lineRule="auto"/>
        <w:ind w:left="672"/>
        <w:rPr>
          <w:rFonts w:hint="default" w:ascii="Times New Roman" w:hAnsi="Times New Roman" w:eastAsia="仿宋_GB2312" w:cs="Times New Roman"/>
          <w:b/>
          <w:bCs/>
          <w:spacing w:val="7"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pacing w:val="7"/>
          <w:sz w:val="31"/>
          <w:szCs w:val="31"/>
        </w:rPr>
        <w:t>收入支出决算总表</w:t>
      </w:r>
    </w:p>
    <w:p w14:paraId="57B802C1">
      <w:pPr>
        <w:numPr>
          <w:numId w:val="0"/>
        </w:numPr>
        <w:spacing w:before="100" w:line="224" w:lineRule="auto"/>
        <w:rPr>
          <w:rFonts w:hint="eastAsia" w:ascii="Times New Roman" w:hAnsi="Times New Roman" w:eastAsia="仿宋_GB2312" w:cs="Times New Roman"/>
          <w:b/>
          <w:bCs/>
          <w:spacing w:val="7"/>
          <w:sz w:val="31"/>
          <w:szCs w:val="31"/>
          <w:lang w:eastAsia="zh-CN"/>
        </w:rPr>
      </w:pPr>
      <w:r>
        <w:rPr>
          <w:rFonts w:hint="eastAsia" w:ascii="Times New Roman" w:hAnsi="Times New Roman" w:eastAsia="仿宋_GB2312" w:cs="Times New Roman"/>
          <w:b/>
          <w:bCs/>
          <w:spacing w:val="7"/>
          <w:sz w:val="31"/>
          <w:szCs w:val="31"/>
          <w:lang w:eastAsia="zh-CN"/>
        </w:rPr>
        <w:drawing>
          <wp:inline distT="0" distB="0" distL="114300" distR="114300">
            <wp:extent cx="5291455" cy="2579370"/>
            <wp:effectExtent l="0" t="0" r="4445" b="11430"/>
            <wp:docPr id="30" name="图片 30" descr="2023年度部门决算公开表样_g01收入支出决算总表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 descr="2023年度部门决算公开表样_g01收入支出决算总表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91455" cy="2579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A94C37">
      <w:pPr>
        <w:numPr>
          <w:numId w:val="0"/>
        </w:numPr>
        <w:spacing w:before="100" w:line="224" w:lineRule="auto"/>
        <w:rPr>
          <w:rFonts w:hint="default" w:ascii="Times New Roman" w:hAnsi="Times New Roman" w:eastAsia="仿宋_GB2312" w:cs="Times New Roman"/>
          <w:b/>
          <w:bCs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pacing w:val="7"/>
          <w:sz w:val="31"/>
          <w:szCs w:val="31"/>
        </w:rPr>
        <w:t>二、收入决算表</w:t>
      </w:r>
    </w:p>
    <w:p w14:paraId="7DAAE0E8">
      <w:pPr>
        <w:spacing w:before="209" w:line="5702" w:lineRule="exact"/>
        <w:ind w:firstLine="324"/>
        <w:rPr>
          <w:rFonts w:hint="eastAsia" w:ascii="Times New Roman" w:hAnsi="Times New Roman" w:eastAsia="仿宋_GB2312" w:cs="Times New Roman"/>
          <w:lang w:eastAsia="zh-CN"/>
        </w:rPr>
      </w:pPr>
      <w:r>
        <w:rPr>
          <w:rFonts w:hint="eastAsia" w:ascii="Times New Roman" w:hAnsi="Times New Roman" w:eastAsia="仿宋_GB2312" w:cs="Times New Roman"/>
          <w:lang w:eastAsia="zh-CN"/>
        </w:rPr>
        <w:drawing>
          <wp:inline distT="0" distB="0" distL="114300" distR="114300">
            <wp:extent cx="5291455" cy="2579370"/>
            <wp:effectExtent l="0" t="0" r="4445" b="11430"/>
            <wp:docPr id="31" name="图片 31" descr="2023年度部门决算公开表样_g01收入支出决算总表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 descr="2023年度部门决算公开表样_g01收入支出决算总表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91455" cy="2579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430FB1">
      <w:pPr>
        <w:pStyle w:val="2"/>
        <w:spacing w:line="261" w:lineRule="auto"/>
        <w:rPr>
          <w:rFonts w:hint="default" w:ascii="Times New Roman" w:hAnsi="Times New Roman" w:eastAsia="仿宋_GB2312" w:cs="Times New Roman"/>
        </w:rPr>
      </w:pPr>
    </w:p>
    <w:p w14:paraId="4E763445">
      <w:pPr>
        <w:pStyle w:val="2"/>
        <w:spacing w:line="261" w:lineRule="auto"/>
        <w:rPr>
          <w:rFonts w:hint="default" w:ascii="Times New Roman" w:hAnsi="Times New Roman" w:eastAsia="仿宋_GB2312" w:cs="Times New Roman"/>
        </w:rPr>
      </w:pPr>
    </w:p>
    <w:p w14:paraId="2C74B845">
      <w:pPr>
        <w:pStyle w:val="2"/>
        <w:spacing w:line="262" w:lineRule="auto"/>
        <w:rPr>
          <w:rFonts w:hint="default" w:ascii="Times New Roman" w:hAnsi="Times New Roman" w:eastAsia="仿宋_GB2312" w:cs="Times New Roman"/>
        </w:rPr>
      </w:pPr>
    </w:p>
    <w:p w14:paraId="1405B62C">
      <w:pPr>
        <w:pStyle w:val="2"/>
        <w:spacing w:line="339" w:lineRule="auto"/>
        <w:rPr>
          <w:rFonts w:hint="default" w:ascii="Times New Roman" w:hAnsi="Times New Roman" w:eastAsia="仿宋_GB2312" w:cs="Times New Roman"/>
        </w:rPr>
      </w:pPr>
    </w:p>
    <w:p w14:paraId="52B29CB1">
      <w:pPr>
        <w:pStyle w:val="2"/>
        <w:spacing w:line="340" w:lineRule="auto"/>
        <w:rPr>
          <w:rFonts w:hint="default" w:ascii="Times New Roman" w:hAnsi="Times New Roman" w:eastAsia="仿宋_GB2312" w:cs="Times New Roman"/>
        </w:rPr>
      </w:pPr>
    </w:p>
    <w:p w14:paraId="0F108625">
      <w:pPr>
        <w:spacing w:before="101" w:line="224" w:lineRule="auto"/>
        <w:ind w:left="674"/>
        <w:rPr>
          <w:rFonts w:hint="default" w:ascii="Times New Roman" w:hAnsi="Times New Roman" w:eastAsia="仿宋_GB2312" w:cs="Times New Roman"/>
          <w:b/>
          <w:bCs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pacing w:val="7"/>
          <w:sz w:val="31"/>
          <w:szCs w:val="31"/>
        </w:rPr>
        <w:t>三、支出决算表</w:t>
      </w:r>
    </w:p>
    <w:p w14:paraId="3382C71B">
      <w:pPr>
        <w:spacing w:before="151" w:line="5818" w:lineRule="exact"/>
        <w:ind w:firstLine="240"/>
        <w:rPr>
          <w:rFonts w:hint="eastAsia" w:ascii="Times New Roman" w:hAnsi="Times New Roman" w:eastAsia="仿宋_GB2312" w:cs="Times New Roman"/>
          <w:lang w:eastAsia="zh-CN"/>
        </w:rPr>
      </w:pPr>
      <w:r>
        <w:rPr>
          <w:rFonts w:hint="eastAsia" w:ascii="Times New Roman" w:hAnsi="Times New Roman" w:eastAsia="仿宋_GB2312" w:cs="Times New Roman"/>
          <w:lang w:eastAsia="zh-CN"/>
        </w:rPr>
        <w:drawing>
          <wp:inline distT="0" distB="0" distL="114300" distR="114300">
            <wp:extent cx="5293360" cy="2479040"/>
            <wp:effectExtent l="0" t="0" r="2540" b="16510"/>
            <wp:docPr id="32" name="图片 32" descr="2023年度部门决算公开表样_g03支出决算表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 descr="2023年度部门决算公开表样_g03支出决算表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93360" cy="2479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F2B048">
      <w:pPr>
        <w:pStyle w:val="2"/>
        <w:spacing w:line="242" w:lineRule="auto"/>
        <w:rPr>
          <w:rFonts w:hint="default" w:ascii="Times New Roman" w:hAnsi="Times New Roman" w:eastAsia="仿宋_GB2312" w:cs="Times New Roman"/>
        </w:rPr>
      </w:pPr>
    </w:p>
    <w:p w14:paraId="5B79A916">
      <w:pPr>
        <w:pStyle w:val="2"/>
        <w:spacing w:line="242" w:lineRule="auto"/>
        <w:rPr>
          <w:rFonts w:hint="default" w:ascii="Times New Roman" w:hAnsi="Times New Roman" w:eastAsia="仿宋_GB2312" w:cs="Times New Roman"/>
        </w:rPr>
      </w:pPr>
    </w:p>
    <w:p w14:paraId="77B33F4B">
      <w:pPr>
        <w:pStyle w:val="2"/>
        <w:spacing w:line="339" w:lineRule="auto"/>
        <w:rPr>
          <w:rFonts w:hint="default" w:ascii="Times New Roman" w:hAnsi="Times New Roman" w:eastAsia="仿宋_GB2312" w:cs="Times New Roman"/>
        </w:rPr>
      </w:pPr>
    </w:p>
    <w:p w14:paraId="077BAD87">
      <w:pPr>
        <w:pStyle w:val="2"/>
        <w:spacing w:line="340" w:lineRule="auto"/>
        <w:rPr>
          <w:rFonts w:hint="default" w:ascii="Times New Roman" w:hAnsi="Times New Roman" w:eastAsia="仿宋_GB2312" w:cs="Times New Roman"/>
        </w:rPr>
      </w:pPr>
    </w:p>
    <w:p w14:paraId="4D97E2E3">
      <w:pPr>
        <w:spacing w:before="101" w:line="224" w:lineRule="auto"/>
        <w:ind w:left="686"/>
        <w:rPr>
          <w:rFonts w:hint="default" w:ascii="Times New Roman" w:hAnsi="Times New Roman" w:eastAsia="仿宋_GB2312" w:cs="Times New Roman"/>
          <w:b/>
          <w:bCs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pacing w:val="7"/>
          <w:sz w:val="31"/>
          <w:szCs w:val="31"/>
        </w:rPr>
        <w:t>四、财政拨款收入支出决算总表</w:t>
      </w:r>
    </w:p>
    <w:p w14:paraId="02FFDFE5">
      <w:pPr>
        <w:pStyle w:val="2"/>
        <w:spacing w:line="245" w:lineRule="auto"/>
        <w:rPr>
          <w:rFonts w:hint="default" w:ascii="Times New Roman" w:hAnsi="Times New Roman" w:eastAsia="仿宋_GB2312" w:cs="Times New Roman"/>
        </w:rPr>
      </w:pPr>
    </w:p>
    <w:p w14:paraId="0587E358">
      <w:pPr>
        <w:spacing w:line="4378" w:lineRule="exact"/>
        <w:ind w:firstLine="14"/>
        <w:rPr>
          <w:rFonts w:hint="eastAsia" w:ascii="Times New Roman" w:hAnsi="Times New Roman" w:eastAsia="仿宋_GB2312" w:cs="Times New Roman"/>
          <w:lang w:eastAsia="zh-CN"/>
        </w:rPr>
      </w:pPr>
      <w:r>
        <w:rPr>
          <w:rFonts w:hint="eastAsia" w:ascii="Times New Roman" w:hAnsi="Times New Roman" w:eastAsia="仿宋_GB2312" w:cs="Times New Roman"/>
          <w:lang w:eastAsia="zh-CN"/>
        </w:rPr>
        <w:drawing>
          <wp:inline distT="0" distB="0" distL="114300" distR="114300">
            <wp:extent cx="5273675" cy="2176780"/>
            <wp:effectExtent l="0" t="0" r="3175" b="13970"/>
            <wp:docPr id="33" name="图片 33" descr="2023年度部门决算公开表样_g04财政拨款收入支出决算总表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 descr="2023年度部门决算公开表样_g04财政拨款收入支出决算总表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176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D07DA9">
      <w:pPr>
        <w:pStyle w:val="2"/>
        <w:spacing w:line="273" w:lineRule="auto"/>
        <w:rPr>
          <w:rFonts w:hint="default" w:ascii="Times New Roman" w:hAnsi="Times New Roman" w:eastAsia="仿宋_GB2312" w:cs="Times New Roman"/>
        </w:rPr>
      </w:pPr>
    </w:p>
    <w:p w14:paraId="5348E15F">
      <w:pPr>
        <w:pStyle w:val="2"/>
        <w:spacing w:line="273" w:lineRule="auto"/>
        <w:rPr>
          <w:rFonts w:hint="default" w:ascii="Times New Roman" w:hAnsi="Times New Roman" w:eastAsia="仿宋_GB2312" w:cs="Times New Roman"/>
        </w:rPr>
      </w:pPr>
    </w:p>
    <w:p w14:paraId="01E0E8C5">
      <w:pPr>
        <w:pStyle w:val="2"/>
        <w:spacing w:line="274" w:lineRule="auto"/>
        <w:rPr>
          <w:rFonts w:hint="default" w:ascii="Times New Roman" w:hAnsi="Times New Roman" w:eastAsia="仿宋_GB2312" w:cs="Times New Roman"/>
        </w:rPr>
      </w:pPr>
    </w:p>
    <w:p w14:paraId="723E7371">
      <w:pPr>
        <w:tabs>
          <w:tab w:val="left" w:pos="514"/>
        </w:tabs>
        <w:spacing w:before="100" w:line="224" w:lineRule="auto"/>
        <w:ind w:left="675"/>
        <w:rPr>
          <w:rFonts w:hint="default" w:ascii="Times New Roman" w:hAnsi="Times New Roman" w:eastAsia="仿宋_GB2312" w:cs="Times New Roman"/>
        </w:rPr>
      </w:pPr>
      <w:r>
        <w:rPr>
          <w:rFonts w:hint="eastAsia" w:ascii="Times New Roman" w:hAnsi="Times New Roman" w:eastAsia="仿宋_GB2312" w:cs="Times New Roman"/>
          <w:color w:val="FF0000"/>
          <w:spacing w:val="4"/>
          <w:sz w:val="31"/>
          <w:szCs w:val="31"/>
          <w:lang w:eastAsia="zh-CN"/>
        </w:rPr>
        <w:tab/>
      </w:r>
    </w:p>
    <w:p w14:paraId="36050C6E">
      <w:pPr>
        <w:spacing w:before="100" w:line="224" w:lineRule="auto"/>
        <w:ind w:left="676"/>
        <w:rPr>
          <w:rFonts w:hint="default" w:ascii="Times New Roman" w:hAnsi="Times New Roman" w:eastAsia="仿宋_GB2312" w:cs="Times New Roman"/>
          <w:b/>
          <w:bCs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pacing w:val="8"/>
          <w:sz w:val="31"/>
          <w:szCs w:val="31"/>
        </w:rPr>
        <w:t>五、一般公共预算财政拨款支出决算表</w:t>
      </w:r>
    </w:p>
    <w:p w14:paraId="44A3E5C6">
      <w:pPr>
        <w:spacing w:before="229" w:line="4102" w:lineRule="exact"/>
        <w:ind w:firstLine="14"/>
        <w:rPr>
          <w:rFonts w:hint="eastAsia" w:ascii="Times New Roman" w:hAnsi="Times New Roman" w:eastAsia="仿宋_GB2312" w:cs="Times New Roman"/>
          <w:lang w:eastAsia="zh-CN"/>
        </w:rPr>
      </w:pPr>
      <w:r>
        <w:rPr>
          <w:rFonts w:hint="eastAsia" w:ascii="Times New Roman" w:hAnsi="Times New Roman" w:eastAsia="仿宋_GB2312" w:cs="Times New Roman"/>
          <w:lang w:eastAsia="zh-CN"/>
        </w:rPr>
        <w:drawing>
          <wp:inline distT="0" distB="0" distL="114300" distR="114300">
            <wp:extent cx="5291455" cy="2647950"/>
            <wp:effectExtent l="0" t="0" r="4445" b="0"/>
            <wp:docPr id="34" name="图片 34" descr="2023年度部门决算公开表样_g05一般公共预算财政拨款支出决算表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 descr="2023年度部门决算公开表样_g05一般公共预算财政拨款支出决算表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91455" cy="2647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B51C58">
      <w:pPr>
        <w:pStyle w:val="2"/>
        <w:spacing w:line="268" w:lineRule="auto"/>
        <w:rPr>
          <w:rFonts w:hint="default" w:ascii="Times New Roman" w:hAnsi="Times New Roman" w:eastAsia="仿宋_GB2312" w:cs="Times New Roman"/>
        </w:rPr>
      </w:pPr>
    </w:p>
    <w:p w14:paraId="736A4FBD">
      <w:pPr>
        <w:pStyle w:val="2"/>
        <w:spacing w:line="268" w:lineRule="auto"/>
        <w:rPr>
          <w:rFonts w:hint="default" w:ascii="Times New Roman" w:hAnsi="Times New Roman" w:eastAsia="仿宋_GB2312" w:cs="Times New Roman"/>
        </w:rPr>
      </w:pPr>
    </w:p>
    <w:p w14:paraId="7238BFA7">
      <w:pPr>
        <w:pStyle w:val="2"/>
        <w:spacing w:line="268" w:lineRule="auto"/>
        <w:rPr>
          <w:rFonts w:hint="default" w:ascii="Times New Roman" w:hAnsi="Times New Roman" w:eastAsia="仿宋_GB2312" w:cs="Times New Roman"/>
        </w:rPr>
      </w:pPr>
    </w:p>
    <w:p w14:paraId="2E199CED">
      <w:pPr>
        <w:pStyle w:val="2"/>
        <w:spacing w:line="339" w:lineRule="auto"/>
        <w:rPr>
          <w:rFonts w:hint="default" w:ascii="Times New Roman" w:hAnsi="Times New Roman" w:eastAsia="仿宋_GB2312" w:cs="Times New Roman"/>
        </w:rPr>
      </w:pPr>
    </w:p>
    <w:p w14:paraId="25DCCA73">
      <w:pPr>
        <w:pStyle w:val="2"/>
        <w:spacing w:line="339" w:lineRule="auto"/>
        <w:rPr>
          <w:rFonts w:hint="default" w:ascii="Times New Roman" w:hAnsi="Times New Roman" w:eastAsia="仿宋_GB2312" w:cs="Times New Roman"/>
        </w:rPr>
      </w:pPr>
    </w:p>
    <w:p w14:paraId="0FF11184">
      <w:pPr>
        <w:spacing w:before="100" w:line="224" w:lineRule="auto"/>
        <w:ind w:left="677"/>
        <w:rPr>
          <w:rFonts w:hint="default" w:ascii="Times New Roman" w:hAnsi="Times New Roman" w:eastAsia="仿宋_GB2312" w:cs="Times New Roman"/>
          <w:b/>
          <w:bCs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pacing w:val="8"/>
          <w:sz w:val="31"/>
          <w:szCs w:val="31"/>
        </w:rPr>
        <w:t>六、一般公共预算财政拨款基本支出决算明细表</w:t>
      </w:r>
    </w:p>
    <w:p w14:paraId="2ACC0C1B">
      <w:pPr>
        <w:spacing w:before="234" w:line="5964" w:lineRule="exact"/>
        <w:ind w:firstLine="237"/>
        <w:rPr>
          <w:rFonts w:hint="eastAsia" w:ascii="Times New Roman" w:hAnsi="Times New Roman" w:eastAsia="仿宋_GB2312" w:cs="Times New Roman"/>
          <w:lang w:eastAsia="zh-CN"/>
        </w:rPr>
      </w:pPr>
      <w:r>
        <w:rPr>
          <w:rFonts w:hint="eastAsia" w:ascii="Times New Roman" w:hAnsi="Times New Roman" w:eastAsia="仿宋_GB2312" w:cs="Times New Roman"/>
          <w:lang w:eastAsia="zh-CN"/>
        </w:rPr>
        <w:drawing>
          <wp:inline distT="0" distB="0" distL="114300" distR="114300">
            <wp:extent cx="5275580" cy="3134995"/>
            <wp:effectExtent l="0" t="0" r="1270" b="8255"/>
            <wp:docPr id="35" name="图片 35" descr="2023年度部门决算公开表样_g06一般公共预算财政拨款基本支出决算明细表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 descr="2023年度部门决算公开表样_g06一般公共预算财政拨款基本支出决算明细表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5580" cy="3134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28D1B1">
      <w:pPr>
        <w:pStyle w:val="2"/>
        <w:spacing w:line="270" w:lineRule="auto"/>
        <w:rPr>
          <w:rFonts w:hint="default" w:ascii="Times New Roman" w:hAnsi="Times New Roman" w:eastAsia="仿宋_GB2312" w:cs="Times New Roman"/>
        </w:rPr>
      </w:pPr>
    </w:p>
    <w:p w14:paraId="4EE00500">
      <w:pPr>
        <w:pStyle w:val="2"/>
        <w:spacing w:line="270" w:lineRule="auto"/>
        <w:rPr>
          <w:rFonts w:hint="default" w:ascii="Times New Roman" w:hAnsi="Times New Roman" w:eastAsia="仿宋_GB2312" w:cs="Times New Roman"/>
        </w:rPr>
      </w:pPr>
    </w:p>
    <w:p w14:paraId="388B6C52">
      <w:pPr>
        <w:pStyle w:val="2"/>
        <w:spacing w:line="270" w:lineRule="auto"/>
        <w:rPr>
          <w:rFonts w:hint="default" w:ascii="Times New Roman" w:hAnsi="Times New Roman" w:eastAsia="仿宋_GB2312" w:cs="Times New Roman"/>
        </w:rPr>
      </w:pPr>
    </w:p>
    <w:p w14:paraId="5B140DFA">
      <w:pPr>
        <w:pStyle w:val="2"/>
        <w:spacing w:line="339" w:lineRule="auto"/>
        <w:rPr>
          <w:rFonts w:hint="default" w:ascii="Times New Roman" w:hAnsi="Times New Roman" w:eastAsia="仿宋_GB2312" w:cs="Times New Roman"/>
        </w:rPr>
      </w:pPr>
    </w:p>
    <w:p w14:paraId="27C053C9">
      <w:pPr>
        <w:pStyle w:val="2"/>
        <w:spacing w:line="340" w:lineRule="auto"/>
        <w:rPr>
          <w:rFonts w:hint="default" w:ascii="Times New Roman" w:hAnsi="Times New Roman" w:eastAsia="仿宋_GB2312" w:cs="Times New Roman"/>
        </w:rPr>
      </w:pPr>
    </w:p>
    <w:p w14:paraId="79907CA8">
      <w:pPr>
        <w:spacing w:before="101" w:line="224" w:lineRule="auto"/>
        <w:ind w:left="666"/>
        <w:rPr>
          <w:rFonts w:hint="default" w:ascii="Times New Roman" w:hAnsi="Times New Roman" w:eastAsia="仿宋_GB2312" w:cs="Times New Roman"/>
          <w:b/>
          <w:bCs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pacing w:val="8"/>
          <w:sz w:val="31"/>
          <w:szCs w:val="31"/>
        </w:rPr>
        <w:t>七、政府性基金预算财政拨款收入支出决算表</w:t>
      </w:r>
    </w:p>
    <w:p w14:paraId="11F74E36">
      <w:pPr>
        <w:spacing w:before="235" w:line="4714" w:lineRule="exact"/>
        <w:ind w:firstLine="240"/>
        <w:rPr>
          <w:rFonts w:hint="default" w:ascii="Times New Roman" w:hAnsi="Times New Roman" w:eastAsia="仿宋_GB2312" w:cs="Times New Roman"/>
        </w:rPr>
      </w:pPr>
      <w:r>
        <w:rPr>
          <w:rFonts w:hint="default" w:ascii="Times New Roman" w:hAnsi="Times New Roman" w:eastAsia="仿宋_GB2312" w:cs="Times New Roman"/>
          <w:position w:val="-94"/>
        </w:rPr>
        <w:drawing>
          <wp:inline distT="0" distB="0" distL="0" distR="0">
            <wp:extent cx="4987925" cy="2993390"/>
            <wp:effectExtent l="0" t="0" r="0" b="0"/>
            <wp:docPr id="14" name="IM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 14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987925" cy="2993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E11733">
      <w:pPr>
        <w:pStyle w:val="2"/>
        <w:spacing w:line="270" w:lineRule="auto"/>
        <w:rPr>
          <w:rFonts w:hint="default" w:ascii="Times New Roman" w:hAnsi="Times New Roman" w:eastAsia="仿宋_GB2312" w:cs="Times New Roman"/>
        </w:rPr>
      </w:pPr>
    </w:p>
    <w:p w14:paraId="37958CB3">
      <w:pPr>
        <w:pStyle w:val="2"/>
        <w:spacing w:line="270" w:lineRule="auto"/>
        <w:rPr>
          <w:rFonts w:hint="default" w:ascii="Times New Roman" w:hAnsi="Times New Roman" w:eastAsia="仿宋_GB2312" w:cs="Times New Roman"/>
        </w:rPr>
      </w:pPr>
    </w:p>
    <w:p w14:paraId="186DA18B">
      <w:pPr>
        <w:pStyle w:val="2"/>
        <w:spacing w:line="271" w:lineRule="auto"/>
        <w:rPr>
          <w:rFonts w:hint="default" w:ascii="Times New Roman" w:hAnsi="Times New Roman" w:eastAsia="仿宋_GB2312" w:cs="Times New Roman"/>
        </w:rPr>
      </w:pPr>
    </w:p>
    <w:p w14:paraId="68FD1EDA">
      <w:pPr>
        <w:pStyle w:val="2"/>
        <w:spacing w:line="339" w:lineRule="auto"/>
        <w:rPr>
          <w:rFonts w:hint="default" w:ascii="Times New Roman" w:hAnsi="Times New Roman" w:eastAsia="仿宋_GB2312" w:cs="Times New Roman"/>
        </w:rPr>
      </w:pPr>
    </w:p>
    <w:p w14:paraId="6B2CBEAF">
      <w:pPr>
        <w:pStyle w:val="2"/>
        <w:spacing w:line="340" w:lineRule="auto"/>
        <w:rPr>
          <w:rFonts w:hint="default" w:ascii="Times New Roman" w:hAnsi="Times New Roman" w:eastAsia="仿宋_GB2312" w:cs="Times New Roman"/>
        </w:rPr>
      </w:pPr>
    </w:p>
    <w:p w14:paraId="0E10C43E">
      <w:pPr>
        <w:spacing w:before="101" w:line="224" w:lineRule="auto"/>
        <w:ind w:left="667"/>
        <w:rPr>
          <w:rFonts w:hint="default" w:ascii="Times New Roman" w:hAnsi="Times New Roman" w:eastAsia="仿宋_GB2312" w:cs="Times New Roman"/>
          <w:b/>
          <w:bCs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pacing w:val="8"/>
          <w:sz w:val="31"/>
          <w:szCs w:val="31"/>
        </w:rPr>
        <w:t>八、国有资本经营预算财政拨款支出决算表</w:t>
      </w:r>
    </w:p>
    <w:p w14:paraId="45E2B815">
      <w:pPr>
        <w:spacing w:before="182" w:line="4817" w:lineRule="exact"/>
        <w:ind w:firstLine="28"/>
        <w:rPr>
          <w:rFonts w:hint="default" w:ascii="Times New Roman" w:hAnsi="Times New Roman" w:eastAsia="仿宋_GB2312" w:cs="Times New Roman"/>
        </w:rPr>
      </w:pPr>
      <w:r>
        <w:rPr>
          <w:rFonts w:hint="default" w:ascii="Times New Roman" w:hAnsi="Times New Roman" w:eastAsia="仿宋_GB2312" w:cs="Times New Roman"/>
          <w:position w:val="-96"/>
        </w:rPr>
        <w:drawing>
          <wp:inline distT="0" distB="0" distL="0" distR="0">
            <wp:extent cx="5254625" cy="3058160"/>
            <wp:effectExtent l="0" t="0" r="0" b="0"/>
            <wp:docPr id="16" name="IM 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 16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55259" cy="30587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700DE4">
      <w:pPr>
        <w:pStyle w:val="2"/>
        <w:spacing w:line="253" w:lineRule="auto"/>
        <w:rPr>
          <w:rFonts w:hint="default" w:ascii="Times New Roman" w:hAnsi="Times New Roman" w:eastAsia="仿宋_GB2312" w:cs="Times New Roman"/>
        </w:rPr>
      </w:pPr>
    </w:p>
    <w:p w14:paraId="49D71A80">
      <w:pPr>
        <w:pStyle w:val="2"/>
        <w:spacing w:line="253" w:lineRule="auto"/>
        <w:rPr>
          <w:rFonts w:hint="default" w:ascii="Times New Roman" w:hAnsi="Times New Roman" w:eastAsia="仿宋_GB2312" w:cs="Times New Roman"/>
        </w:rPr>
      </w:pPr>
    </w:p>
    <w:p w14:paraId="6461A985">
      <w:pPr>
        <w:pStyle w:val="2"/>
        <w:spacing w:line="253" w:lineRule="auto"/>
        <w:rPr>
          <w:rFonts w:hint="default" w:ascii="Times New Roman" w:hAnsi="Times New Roman" w:eastAsia="仿宋_GB2312" w:cs="Times New Roman"/>
        </w:rPr>
      </w:pPr>
    </w:p>
    <w:p w14:paraId="44EBBC8B">
      <w:pPr>
        <w:pStyle w:val="2"/>
        <w:spacing w:line="339" w:lineRule="auto"/>
        <w:rPr>
          <w:rFonts w:hint="default" w:ascii="Times New Roman" w:hAnsi="Times New Roman" w:eastAsia="仿宋_GB2312" w:cs="Times New Roman"/>
        </w:rPr>
      </w:pPr>
    </w:p>
    <w:p w14:paraId="495BE596">
      <w:pPr>
        <w:pStyle w:val="2"/>
        <w:spacing w:line="340" w:lineRule="auto"/>
        <w:rPr>
          <w:rFonts w:hint="default" w:ascii="Times New Roman" w:hAnsi="Times New Roman" w:eastAsia="仿宋_GB2312" w:cs="Times New Roman"/>
        </w:rPr>
      </w:pPr>
    </w:p>
    <w:p w14:paraId="75BF3284">
      <w:pPr>
        <w:spacing w:before="101" w:line="224" w:lineRule="auto"/>
        <w:ind w:left="675"/>
        <w:rPr>
          <w:rFonts w:hint="default" w:ascii="Times New Roman" w:hAnsi="Times New Roman" w:eastAsia="仿宋_GB2312" w:cs="Times New Roman"/>
          <w:b/>
          <w:bCs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pacing w:val="8"/>
          <w:sz w:val="31"/>
          <w:szCs w:val="31"/>
        </w:rPr>
        <w:t>九、财政拨款“三公”经费支出决算表</w:t>
      </w:r>
    </w:p>
    <w:p w14:paraId="278AA62F">
      <w:pPr>
        <w:spacing w:before="96" w:line="5302" w:lineRule="exact"/>
        <w:ind w:firstLine="237"/>
        <w:rPr>
          <w:rFonts w:hint="default" w:ascii="Times New Roman" w:hAnsi="Times New Roman" w:eastAsia="仿宋_GB2312" w:cs="Times New Roman"/>
        </w:rPr>
      </w:pPr>
      <w:r>
        <w:rPr>
          <w:rFonts w:hint="default" w:ascii="Times New Roman" w:hAnsi="Times New Roman" w:eastAsia="仿宋_GB2312" w:cs="Times New Roman"/>
          <w:position w:val="-106"/>
        </w:rPr>
        <w:drawing>
          <wp:inline distT="0" distB="0" distL="0" distR="0">
            <wp:extent cx="4991100" cy="3366770"/>
            <wp:effectExtent l="0" t="0" r="0" b="0"/>
            <wp:docPr id="18" name="IM 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 18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991100" cy="3366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CEAD5A">
      <w:pPr>
        <w:pStyle w:val="2"/>
        <w:spacing w:line="339" w:lineRule="auto"/>
        <w:rPr>
          <w:rFonts w:hint="default" w:ascii="Times New Roman" w:hAnsi="Times New Roman" w:eastAsia="仿宋_GB2312" w:cs="Times New Roman"/>
        </w:rPr>
      </w:pPr>
    </w:p>
    <w:p w14:paraId="4224E53D">
      <w:pPr>
        <w:pStyle w:val="2"/>
        <w:spacing w:line="339" w:lineRule="auto"/>
        <w:rPr>
          <w:rFonts w:hint="default" w:ascii="Times New Roman" w:hAnsi="Times New Roman" w:eastAsia="仿宋_GB2312" w:cs="Times New Roman"/>
        </w:rPr>
      </w:pPr>
    </w:p>
    <w:p w14:paraId="1DE4AD14">
      <w:pPr>
        <w:spacing w:before="100" w:line="224" w:lineRule="auto"/>
        <w:ind w:left="30"/>
        <w:rPr>
          <w:rFonts w:hint="default" w:ascii="Times New Roman" w:hAnsi="Times New Roman" w:eastAsia="仿宋_GB2312" w:cs="Times New Roman"/>
          <w:b/>
          <w:bCs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pacing w:val="8"/>
          <w:sz w:val="31"/>
          <w:szCs w:val="31"/>
        </w:rPr>
        <w:t>十、部门预算项目支出绩效自评表</w:t>
      </w:r>
    </w:p>
    <w:p w14:paraId="58930D1D">
      <w:pPr>
        <w:pStyle w:val="2"/>
        <w:spacing w:line="261" w:lineRule="auto"/>
        <w:rPr>
          <w:rFonts w:hint="default" w:ascii="Times New Roman" w:hAnsi="Times New Roman" w:eastAsia="仿宋_GB2312" w:cs="Times New Roman"/>
        </w:rPr>
      </w:pPr>
    </w:p>
    <w:p w14:paraId="4437F56F">
      <w:pPr>
        <w:pStyle w:val="2"/>
        <w:spacing w:line="261" w:lineRule="auto"/>
        <w:rPr>
          <w:rFonts w:hint="default" w:ascii="Times New Roman" w:hAnsi="Times New Roman" w:eastAsia="仿宋_GB2312" w:cs="Times New Roman"/>
        </w:rPr>
      </w:pPr>
    </w:p>
    <w:p w14:paraId="06A97532">
      <w:pPr>
        <w:pStyle w:val="2"/>
        <w:spacing w:line="261" w:lineRule="auto"/>
        <w:rPr>
          <w:rFonts w:hint="default" w:ascii="Times New Roman" w:hAnsi="Times New Roman" w:eastAsia="仿宋_GB2312" w:cs="Times New Roman"/>
        </w:rPr>
      </w:pPr>
    </w:p>
    <w:p w14:paraId="5775F52E">
      <w:pPr>
        <w:spacing w:line="9847" w:lineRule="exact"/>
        <w:ind w:firstLine="297"/>
        <w:rPr>
          <w:rFonts w:hint="default" w:ascii="Times New Roman" w:hAnsi="Times New Roman" w:eastAsia="仿宋_GB2312" w:cs="Times New Roman"/>
        </w:rPr>
      </w:pPr>
      <w:r>
        <w:rPr>
          <w:rFonts w:hint="default" w:ascii="Times New Roman" w:hAnsi="Times New Roman" w:eastAsia="仿宋_GB2312" w:cs="Times New Roman"/>
          <w:position w:val="-196"/>
        </w:rPr>
        <w:drawing>
          <wp:inline distT="0" distB="0" distL="0" distR="0">
            <wp:extent cx="4912995" cy="6252210"/>
            <wp:effectExtent l="0" t="0" r="0" b="0"/>
            <wp:docPr id="20" name="IM 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 20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913629" cy="62528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D95641">
      <w:pPr>
        <w:spacing w:line="9847" w:lineRule="exact"/>
        <w:rPr>
          <w:rFonts w:hint="default" w:ascii="Times New Roman" w:hAnsi="Times New Roman" w:eastAsia="仿宋_GB2312" w:cs="Times New Roman"/>
        </w:rPr>
        <w:sectPr>
          <w:footerReference r:id="rId8" w:type="default"/>
          <w:pgSz w:w="11907" w:h="16839"/>
          <w:pgMar w:top="1431" w:right="1785" w:bottom="1153" w:left="1785" w:header="0" w:footer="965" w:gutter="0"/>
          <w:cols w:space="720" w:num="1"/>
        </w:sectPr>
      </w:pPr>
    </w:p>
    <w:p w14:paraId="4531689E">
      <w:pPr>
        <w:spacing w:before="225" w:line="443" w:lineRule="exact"/>
        <w:ind w:left="482"/>
        <w:outlineLvl w:val="0"/>
        <w:rPr>
          <w:rFonts w:hint="default" w:ascii="Times New Roman" w:hAnsi="Times New Roman" w:eastAsia="仿宋_GB2312" w:cs="Times New Roman"/>
          <w:b/>
          <w:bCs/>
          <w:sz w:val="43"/>
          <w:szCs w:val="43"/>
        </w:rPr>
      </w:pPr>
      <w:r>
        <w:rPr>
          <w:rFonts w:hint="default" w:ascii="Times New Roman" w:hAnsi="Times New Roman" w:eastAsia="仿宋_GB2312" w:cs="Times New Roman"/>
          <w:b/>
          <w:bCs/>
          <w:spacing w:val="5"/>
          <w:position w:val="-2"/>
          <w:sz w:val="43"/>
          <w:szCs w:val="43"/>
        </w:rPr>
        <w:t>第三部分</w:t>
      </w:r>
      <w:r>
        <w:rPr>
          <w:rFonts w:hint="default" w:ascii="Times New Roman" w:hAnsi="Times New Roman" w:eastAsia="仿宋_GB2312" w:cs="Times New Roman"/>
          <w:b/>
          <w:bCs/>
          <w:spacing w:val="103"/>
          <w:position w:val="-2"/>
          <w:sz w:val="43"/>
          <w:szCs w:val="43"/>
        </w:rPr>
        <w:t xml:space="preserve"> </w:t>
      </w:r>
      <w:r>
        <w:rPr>
          <w:rFonts w:hint="default" w:ascii="Times New Roman" w:hAnsi="Times New Roman" w:eastAsia="仿宋_GB2312" w:cs="Times New Roman"/>
          <w:b/>
          <w:bCs/>
          <w:spacing w:val="5"/>
          <w:position w:val="-2"/>
          <w:sz w:val="43"/>
          <w:szCs w:val="43"/>
        </w:rPr>
        <w:t>2023年度部门决算情况说明</w:t>
      </w:r>
    </w:p>
    <w:p w14:paraId="1583DF46">
      <w:pPr>
        <w:pStyle w:val="2"/>
        <w:spacing w:line="314" w:lineRule="auto"/>
        <w:rPr>
          <w:rFonts w:hint="default" w:ascii="Times New Roman" w:hAnsi="Times New Roman" w:eastAsia="仿宋_GB2312" w:cs="Times New Roman"/>
        </w:rPr>
      </w:pPr>
    </w:p>
    <w:p w14:paraId="4B5E6447">
      <w:pPr>
        <w:pStyle w:val="2"/>
        <w:spacing w:line="314" w:lineRule="auto"/>
        <w:rPr>
          <w:rFonts w:hint="default" w:ascii="Times New Roman" w:hAnsi="Times New Roman" w:eastAsia="仿宋_GB2312" w:cs="Times New Roman"/>
        </w:rPr>
      </w:pPr>
    </w:p>
    <w:p w14:paraId="19128DE2">
      <w:pPr>
        <w:pStyle w:val="2"/>
        <w:spacing w:line="315" w:lineRule="auto"/>
        <w:rPr>
          <w:rFonts w:hint="default" w:ascii="Times New Roman" w:hAnsi="Times New Roman" w:eastAsia="仿宋_GB2312" w:cs="Times New Roman"/>
        </w:rPr>
      </w:pPr>
    </w:p>
    <w:p w14:paraId="2D59620E">
      <w:pPr>
        <w:spacing w:before="101" w:line="224" w:lineRule="auto"/>
        <w:ind w:left="672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一、收入支出决算总体情况说明</w:t>
      </w:r>
    </w:p>
    <w:p w14:paraId="50ACBFA3">
      <w:pPr>
        <w:spacing w:before="248" w:line="362" w:lineRule="auto"/>
        <w:ind w:left="36" w:right="113" w:firstLine="634"/>
        <w:rPr>
          <w:rFonts w:hint="default" w:ascii="Times New Roman" w:hAnsi="Times New Roman" w:eastAsia="仿宋_GB2312" w:cs="Times New Roman"/>
          <w:spacing w:val="0"/>
          <w:sz w:val="31"/>
          <w:szCs w:val="31"/>
          <w:lang w:val="en-US" w:eastAsia="zh-CN"/>
        </w:rPr>
      </w:pP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2023</w:t>
      </w:r>
      <w:r>
        <w:rPr>
          <w:rFonts w:hint="default" w:ascii="Times New Roman" w:hAnsi="Times New Roman" w:eastAsia="仿宋_GB2312" w:cs="Times New Roman"/>
          <w:spacing w:val="-21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年度收、支总计均为</w:t>
      </w:r>
      <w:r>
        <w:rPr>
          <w:rFonts w:hint="eastAsia" w:ascii="Times New Roman" w:hAnsi="Times New Roman" w:eastAsia="仿宋_GB2312" w:cs="Times New Roman"/>
          <w:spacing w:val="4"/>
          <w:sz w:val="31"/>
          <w:szCs w:val="31"/>
          <w:lang w:eastAsia="zh-CN"/>
        </w:rPr>
        <w:t>675.61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万元。与</w:t>
      </w:r>
      <w:r>
        <w:rPr>
          <w:rFonts w:hint="default" w:ascii="Times New Roman" w:hAnsi="Times New Roman" w:eastAsia="仿宋_GB2312" w:cs="Times New Roman"/>
          <w:spacing w:val="-32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2022</w:t>
      </w:r>
      <w:r>
        <w:rPr>
          <w:rFonts w:hint="default" w:ascii="Times New Roman" w:hAnsi="Times New Roman" w:eastAsia="仿宋_GB2312" w:cs="Times New Roman"/>
          <w:spacing w:val="-35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年度相比，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收、支总计各</w:t>
      </w:r>
      <w:r>
        <w:rPr>
          <w:rFonts w:hint="eastAsia" w:ascii="Times New Roman" w:hAnsi="Times New Roman" w:eastAsia="仿宋_GB2312" w:cs="Times New Roman"/>
          <w:spacing w:val="4"/>
          <w:sz w:val="31"/>
          <w:szCs w:val="31"/>
          <w:lang w:val="en-US" w:eastAsia="zh-CN"/>
        </w:rPr>
        <w:t>减少24.13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万元，</w:t>
      </w:r>
      <w:r>
        <w:rPr>
          <w:rFonts w:hint="eastAsia" w:ascii="Times New Roman" w:hAnsi="Times New Roman" w:eastAsia="仿宋_GB2312" w:cs="Times New Roman"/>
          <w:spacing w:val="4"/>
          <w:sz w:val="31"/>
          <w:szCs w:val="31"/>
          <w:lang w:val="en-US" w:eastAsia="zh-CN"/>
        </w:rPr>
        <w:t>下降3.4</w:t>
      </w:r>
      <w:r>
        <w:rPr>
          <w:rFonts w:hint="default" w:ascii="Times New Roman" w:hAnsi="Times New Roman" w:eastAsia="仿宋_GB2312" w:cs="Times New Roman"/>
          <w:spacing w:val="1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%。主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10"/>
          <w:sz w:val="31"/>
          <w:szCs w:val="31"/>
        </w:rPr>
        <w:t>要原因：</w:t>
      </w:r>
      <w:r>
        <w:rPr>
          <w:rFonts w:hint="eastAsia" w:ascii="Times New Roman" w:hAnsi="Times New Roman" w:eastAsia="仿宋_GB2312" w:cs="Times New Roman"/>
          <w:spacing w:val="0"/>
          <w:sz w:val="31"/>
          <w:szCs w:val="31"/>
          <w:lang w:val="en-US" w:eastAsia="zh-CN"/>
        </w:rPr>
        <w:t>上年度增加清算中人职业年金。</w:t>
      </w:r>
    </w:p>
    <w:p w14:paraId="410DE5C8">
      <w:pPr>
        <w:spacing w:before="101" w:line="356" w:lineRule="auto"/>
        <w:ind w:right="82"/>
        <w:rPr>
          <w:rFonts w:hint="default" w:ascii="Times New Roman" w:hAnsi="Times New Roman" w:eastAsia="仿宋_GB2312" w:cs="Times New Roman"/>
          <w:color w:val="FF0000"/>
          <w:spacing w:val="2"/>
          <w:sz w:val="31"/>
          <w:szCs w:val="31"/>
        </w:rPr>
      </w:pPr>
      <w:r>
        <w:rPr>
          <w:rFonts w:hint="eastAsia" w:ascii="Times New Roman" w:hAnsi="Times New Roman" w:eastAsia="仿宋_GB2312" w:cs="Times New Roman"/>
          <w:color w:val="FF0000"/>
          <w:spacing w:val="2"/>
          <w:sz w:val="31"/>
          <w:szCs w:val="31"/>
          <w:lang w:eastAsia="zh-CN"/>
        </w:rPr>
        <w:drawing>
          <wp:inline distT="0" distB="0" distL="114300" distR="114300">
            <wp:extent cx="5256530" cy="2988310"/>
            <wp:effectExtent l="5080" t="4445" r="15240" b="55245"/>
            <wp:docPr id="7" name="图表 7" descr="7b0a202020202263686172745265734964223a20223230323834303537220a7d0a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8"/>
              </a:graphicData>
            </a:graphic>
          </wp:inline>
        </w:drawing>
      </w:r>
    </w:p>
    <w:p w14:paraId="56C1F422">
      <w:pPr>
        <w:spacing w:before="50" w:line="224" w:lineRule="auto"/>
        <w:ind w:left="672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二、收入决算情况说明</w:t>
      </w:r>
    </w:p>
    <w:p w14:paraId="7F512259">
      <w:pPr>
        <w:spacing w:before="253" w:line="368" w:lineRule="auto"/>
        <w:ind w:left="23" w:firstLine="644"/>
        <w:jc w:val="both"/>
        <w:rPr>
          <w:rFonts w:hint="default" w:ascii="Times New Roman" w:hAnsi="Times New Roman" w:eastAsia="仿宋_GB2312" w:cs="Times New Roman"/>
          <w:sz w:val="31"/>
          <w:szCs w:val="31"/>
          <w:lang w:val="en-US" w:eastAsia="zh-CN"/>
        </w:rPr>
      </w:pP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本年收入合计</w:t>
      </w:r>
      <w:r>
        <w:rPr>
          <w:rFonts w:hint="eastAsia" w:ascii="Times New Roman" w:hAnsi="Times New Roman" w:eastAsia="仿宋_GB2312" w:cs="Times New Roman"/>
          <w:spacing w:val="4"/>
          <w:sz w:val="31"/>
          <w:szCs w:val="31"/>
          <w:lang w:val="en-US" w:eastAsia="zh-CN"/>
        </w:rPr>
        <w:t xml:space="preserve">675.61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万元，其中：财政拨款收入</w:t>
      </w:r>
      <w:r>
        <w:rPr>
          <w:rFonts w:hint="eastAsia" w:ascii="Times New Roman" w:hAnsi="Times New Roman" w:eastAsia="仿宋_GB2312" w:cs="Times New Roman"/>
          <w:spacing w:val="4"/>
          <w:sz w:val="31"/>
          <w:szCs w:val="31"/>
          <w:lang w:val="en-US" w:eastAsia="zh-CN"/>
        </w:rPr>
        <w:t>675.56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万元，</w:t>
      </w:r>
      <w:r>
        <w:rPr>
          <w:rFonts w:hint="default" w:ascii="Times New Roman" w:hAnsi="Times New Roman" w:eastAsia="仿宋_GB2312" w:cs="Times New Roman"/>
          <w:spacing w:val="-86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比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上年</w:t>
      </w:r>
      <w:r>
        <w:rPr>
          <w:rFonts w:hint="eastAsia" w:ascii="Times New Roman" w:hAnsi="Times New Roman" w:eastAsia="仿宋_GB2312" w:cs="Times New Roman"/>
          <w:spacing w:val="6"/>
          <w:sz w:val="31"/>
          <w:szCs w:val="31"/>
          <w:lang w:val="en-US" w:eastAsia="zh-CN"/>
        </w:rPr>
        <w:t>增加0.26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万元，</w:t>
      </w:r>
      <w:r>
        <w:rPr>
          <w:rFonts w:hint="eastAsia" w:ascii="Times New Roman" w:hAnsi="Times New Roman" w:eastAsia="仿宋_GB2312" w:cs="Times New Roman"/>
          <w:spacing w:val="6"/>
          <w:sz w:val="31"/>
          <w:szCs w:val="31"/>
          <w:lang w:val="en-US" w:eastAsia="zh-CN"/>
        </w:rPr>
        <w:t>增长0.04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 xml:space="preserve"> %，主要是</w:t>
      </w:r>
      <w:r>
        <w:rPr>
          <w:rFonts w:hint="eastAsia" w:ascii="Times New Roman" w:hAnsi="Times New Roman" w:eastAsia="仿宋_GB2312" w:cs="Times New Roman"/>
          <w:spacing w:val="6"/>
          <w:sz w:val="31"/>
          <w:szCs w:val="31"/>
          <w:lang w:val="en-US" w:eastAsia="zh-CN"/>
        </w:rPr>
        <w:t>本年度</w:t>
      </w:r>
      <w:r>
        <w:rPr>
          <w:rFonts w:hint="eastAsia" w:ascii="Times New Roman" w:hAnsi="Times New Roman" w:eastAsia="仿宋_GB2312" w:cs="Times New Roman"/>
          <w:spacing w:val="0"/>
          <w:sz w:val="31"/>
          <w:szCs w:val="31"/>
          <w:lang w:val="en-US" w:eastAsia="zh-CN"/>
        </w:rPr>
        <w:t>清算中人职业年金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；上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15"/>
          <w:sz w:val="31"/>
          <w:szCs w:val="31"/>
        </w:rPr>
        <w:t>级补助收入</w:t>
      </w:r>
      <w:r>
        <w:rPr>
          <w:rFonts w:hint="default" w:ascii="Times New Roman" w:hAnsi="Times New Roman" w:eastAsia="仿宋_GB2312" w:cs="Times New Roman"/>
          <w:spacing w:val="44"/>
          <w:sz w:val="31"/>
          <w:szCs w:val="31"/>
        </w:rPr>
        <w:t xml:space="preserve"> </w:t>
      </w:r>
      <w:r>
        <w:rPr>
          <w:rFonts w:hint="eastAsia" w:ascii="Times New Roman" w:hAnsi="Times New Roman" w:eastAsia="仿宋_GB2312" w:cs="Times New Roman"/>
          <w:spacing w:val="44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-15"/>
          <w:sz w:val="31"/>
          <w:szCs w:val="31"/>
        </w:rPr>
        <w:t>万元，比上年增加</w:t>
      </w:r>
      <w:r>
        <w:rPr>
          <w:rFonts w:hint="eastAsia" w:ascii="Times New Roman" w:hAnsi="Times New Roman" w:eastAsia="仿宋_GB2312" w:cs="Times New Roman"/>
          <w:spacing w:val="-15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-15"/>
          <w:sz w:val="31"/>
          <w:szCs w:val="31"/>
        </w:rPr>
        <w:t>万元，增长</w:t>
      </w:r>
      <w:r>
        <w:rPr>
          <w:rFonts w:hint="eastAsia" w:ascii="Times New Roman" w:hAnsi="Times New Roman" w:eastAsia="仿宋_GB2312" w:cs="Times New Roman"/>
          <w:spacing w:val="-15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-15"/>
          <w:sz w:val="31"/>
          <w:szCs w:val="31"/>
        </w:rPr>
        <w:t>%，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主要是</w:t>
      </w:r>
      <w:r>
        <w:rPr>
          <w:rFonts w:hint="default" w:ascii="Times New Roman" w:hAnsi="Times New Roman" w:eastAsia="仿宋_GB2312" w:cs="Times New Roman"/>
          <w:spacing w:val="-102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 xml:space="preserve">……；事业收入 </w:t>
      </w:r>
      <w:r>
        <w:rPr>
          <w:rFonts w:hint="eastAsia" w:ascii="Times New Roman" w:hAnsi="Times New Roman" w:eastAsia="仿宋_GB2312" w:cs="Times New Roman"/>
          <w:spacing w:val="4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 xml:space="preserve"> 万元，</w:t>
      </w:r>
      <w:r>
        <w:rPr>
          <w:rFonts w:hint="default" w:ascii="Times New Roman" w:hAnsi="Times New Roman" w:eastAsia="仿宋_GB2312" w:cs="Times New Roman"/>
          <w:spacing w:val="-83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比上年增加</w:t>
      </w:r>
      <w:r>
        <w:rPr>
          <w:rFonts w:hint="eastAsia" w:ascii="Times New Roman" w:hAnsi="Times New Roman" w:eastAsia="仿宋_GB2312" w:cs="Times New Roman"/>
          <w:spacing w:val="4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3"/>
          <w:sz w:val="31"/>
          <w:szCs w:val="31"/>
        </w:rPr>
        <w:t>）万元，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增长</w:t>
      </w:r>
      <w:r>
        <w:rPr>
          <w:rFonts w:hint="eastAsia" w:ascii="Times New Roman" w:hAnsi="Times New Roman" w:eastAsia="仿宋_GB2312" w:cs="Times New Roman"/>
          <w:spacing w:val="4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 xml:space="preserve"> %，主要是</w:t>
      </w:r>
      <w:r>
        <w:rPr>
          <w:rFonts w:hint="default" w:ascii="Times New Roman" w:hAnsi="Times New Roman" w:eastAsia="仿宋_GB2312" w:cs="Times New Roman"/>
          <w:spacing w:val="-100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……；经营收入</w:t>
      </w:r>
      <w:r>
        <w:rPr>
          <w:rFonts w:hint="eastAsia" w:ascii="Times New Roman" w:hAnsi="Times New Roman" w:eastAsia="仿宋_GB2312" w:cs="Times New Roman"/>
          <w:spacing w:val="4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 xml:space="preserve">  万元，</w:t>
      </w:r>
      <w:r>
        <w:rPr>
          <w:rFonts w:hint="default" w:ascii="Times New Roman" w:hAnsi="Times New Roman" w:eastAsia="仿宋_GB2312" w:cs="Times New Roman"/>
          <w:spacing w:val="-82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比</w:t>
      </w:r>
      <w:r>
        <w:rPr>
          <w:rFonts w:hint="default" w:ascii="Times New Roman" w:hAnsi="Times New Roman" w:eastAsia="仿宋_GB2312" w:cs="Times New Roman"/>
          <w:spacing w:val="3"/>
          <w:sz w:val="31"/>
          <w:szCs w:val="31"/>
        </w:rPr>
        <w:t>上年增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加（减少）万元，增长</w:t>
      </w:r>
      <w:r>
        <w:rPr>
          <w:rFonts w:hint="eastAsia" w:ascii="Times New Roman" w:hAnsi="Times New Roman" w:eastAsia="仿宋_GB2312" w:cs="Times New Roman"/>
          <w:spacing w:val="7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 xml:space="preserve"> %，主要是</w:t>
      </w:r>
      <w:r>
        <w:rPr>
          <w:rFonts w:hint="default" w:ascii="Times New Roman" w:hAnsi="Times New Roman" w:eastAsia="仿宋_GB2312" w:cs="Times New Roman"/>
          <w:spacing w:val="-100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……；附属单位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9"/>
          <w:sz w:val="31"/>
          <w:szCs w:val="31"/>
        </w:rPr>
        <w:t xml:space="preserve">上缴收入 </w:t>
      </w:r>
      <w:r>
        <w:rPr>
          <w:rFonts w:hint="eastAsia" w:ascii="Times New Roman" w:hAnsi="Times New Roman" w:eastAsia="仿宋_GB2312" w:cs="Times New Roman"/>
          <w:spacing w:val="-9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-9"/>
          <w:sz w:val="31"/>
          <w:szCs w:val="31"/>
        </w:rPr>
        <w:t xml:space="preserve"> 万元，比上年增加</w:t>
      </w:r>
      <w:r>
        <w:rPr>
          <w:rFonts w:hint="eastAsia" w:ascii="Times New Roman" w:hAnsi="Times New Roman" w:eastAsia="仿宋_GB2312" w:cs="Times New Roman"/>
          <w:spacing w:val="-9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-9"/>
          <w:sz w:val="31"/>
          <w:szCs w:val="31"/>
        </w:rPr>
        <w:t>万元，增长</w:t>
      </w:r>
      <w:r>
        <w:rPr>
          <w:rFonts w:hint="eastAsia" w:ascii="Times New Roman" w:hAnsi="Times New Roman" w:eastAsia="仿宋_GB2312" w:cs="Times New Roman"/>
          <w:spacing w:val="-9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-37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9"/>
          <w:sz w:val="31"/>
          <w:szCs w:val="31"/>
        </w:rPr>
        <w:t>%，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主要是</w:t>
      </w:r>
      <w:r>
        <w:rPr>
          <w:rFonts w:hint="default" w:ascii="Times New Roman" w:hAnsi="Times New Roman" w:eastAsia="仿宋_GB2312" w:cs="Times New Roman"/>
          <w:spacing w:val="-102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……；其他收入0.</w:t>
      </w:r>
      <w:r>
        <w:rPr>
          <w:rFonts w:hint="eastAsia" w:ascii="Times New Roman" w:hAnsi="Times New Roman" w:eastAsia="仿宋_GB2312" w:cs="Times New Roman"/>
          <w:spacing w:val="4"/>
          <w:sz w:val="31"/>
          <w:szCs w:val="31"/>
          <w:lang w:val="en-US" w:eastAsia="zh-CN"/>
        </w:rPr>
        <w:t>05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万元，</w:t>
      </w:r>
      <w:r>
        <w:rPr>
          <w:rFonts w:hint="default" w:ascii="Times New Roman" w:hAnsi="Times New Roman" w:eastAsia="仿宋_GB2312" w:cs="Times New Roman"/>
          <w:spacing w:val="-83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比上年增加</w:t>
      </w:r>
      <w:r>
        <w:rPr>
          <w:rFonts w:hint="eastAsia" w:ascii="Times New Roman" w:hAnsi="Times New Roman" w:eastAsia="仿宋_GB2312" w:cs="Times New Roman"/>
          <w:spacing w:val="4"/>
          <w:sz w:val="31"/>
          <w:szCs w:val="31"/>
          <w:lang w:val="en-US" w:eastAsia="zh-CN"/>
        </w:rPr>
        <w:t>0.02</w:t>
      </w:r>
      <w:r>
        <w:rPr>
          <w:rFonts w:hint="default" w:ascii="Times New Roman" w:hAnsi="Times New Roman" w:eastAsia="仿宋_GB2312" w:cs="Times New Roman"/>
          <w:spacing w:val="3"/>
          <w:sz w:val="31"/>
          <w:szCs w:val="31"/>
        </w:rPr>
        <w:t>万元，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增长</w:t>
      </w:r>
      <w:r>
        <w:rPr>
          <w:rFonts w:hint="eastAsia" w:ascii="Times New Roman" w:hAnsi="Times New Roman" w:eastAsia="仿宋_GB2312" w:cs="Times New Roman"/>
          <w:spacing w:val="4"/>
          <w:sz w:val="31"/>
          <w:szCs w:val="31"/>
          <w:lang w:val="en-US" w:eastAsia="zh-CN"/>
        </w:rPr>
        <w:t>40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 xml:space="preserve"> %</w:t>
      </w:r>
      <w:r>
        <w:rPr>
          <w:rFonts w:hint="eastAsia" w:ascii="Times New Roman" w:hAnsi="Times New Roman" w:eastAsia="仿宋_GB2312" w:cs="Times New Roman"/>
          <w:spacing w:val="4"/>
          <w:sz w:val="31"/>
          <w:szCs w:val="31"/>
          <w:lang w:val="en-US" w:eastAsia="zh-CN"/>
        </w:rPr>
        <w:t>。主要是银行存款利息增加。</w:t>
      </w:r>
    </w:p>
    <w:p w14:paraId="199C5101">
      <w:pPr>
        <w:spacing w:line="356" w:lineRule="auto"/>
        <w:rPr>
          <w:rFonts w:hint="default" w:ascii="Times New Roman" w:hAnsi="Times New Roman" w:eastAsia="仿宋_GB2312" w:cs="Times New Roman"/>
          <w:sz w:val="31"/>
          <w:szCs w:val="31"/>
        </w:rPr>
      </w:pPr>
    </w:p>
    <w:p w14:paraId="4E3F8255">
      <w:pPr>
        <w:spacing w:line="356" w:lineRule="auto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eastAsia" w:ascii="Times New Roman" w:hAnsi="Times New Roman" w:eastAsia="仿宋_GB2312" w:cs="Times New Roman"/>
          <w:sz w:val="31"/>
          <w:szCs w:val="31"/>
          <w:lang w:eastAsia="zh-CN"/>
        </w:rPr>
        <w:drawing>
          <wp:inline distT="0" distB="0" distL="114300" distR="114300">
            <wp:extent cx="5256530" cy="2988310"/>
            <wp:effectExtent l="5080" t="4445" r="15240" b="55245"/>
            <wp:docPr id="8" name="图表 8" descr="7b0a202020202263686172745265734964223a20223230343735393537220a7d0a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9"/>
              </a:graphicData>
            </a:graphic>
          </wp:inline>
        </w:drawing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三、支出决算情况说明</w:t>
      </w:r>
    </w:p>
    <w:p w14:paraId="5D02CC71">
      <w:pPr>
        <w:spacing w:before="251" w:line="368" w:lineRule="auto"/>
        <w:ind w:left="21" w:firstLine="645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本年支出合计 672.52</w:t>
      </w:r>
      <w:r>
        <w:rPr>
          <w:rFonts w:hint="eastAsia" w:ascii="Times New Roman" w:hAnsi="Times New Roman" w:eastAsia="仿宋_GB2312" w:cs="Times New Roman"/>
          <w:spacing w:val="4"/>
          <w:sz w:val="31"/>
          <w:szCs w:val="31"/>
          <w:lang w:val="en-US" w:eastAsia="zh-CN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万元，其中：基本支出</w:t>
      </w:r>
      <w:r>
        <w:rPr>
          <w:rFonts w:hint="eastAsia" w:ascii="Times New Roman" w:hAnsi="Times New Roman" w:eastAsia="仿宋_GB2312" w:cs="Times New Roman"/>
          <w:spacing w:val="4"/>
          <w:sz w:val="31"/>
          <w:szCs w:val="31"/>
          <w:lang w:val="en-US" w:eastAsia="zh-CN"/>
        </w:rPr>
        <w:t>672.52</w:t>
      </w:r>
      <w:r>
        <w:rPr>
          <w:rFonts w:hint="eastAsia" w:ascii="Times New Roman" w:hAnsi="Times New Roman" w:eastAsia="仿宋_GB2312" w:cs="Times New Roman"/>
          <w:spacing w:val="24"/>
          <w:sz w:val="31"/>
          <w:szCs w:val="31"/>
          <w:lang w:val="en-US" w:eastAsia="zh-CN"/>
        </w:rPr>
        <w:t xml:space="preserve">  </w:t>
      </w:r>
      <w:r>
        <w:rPr>
          <w:rFonts w:hint="default" w:ascii="Times New Roman" w:hAnsi="Times New Roman" w:eastAsia="仿宋_GB2312" w:cs="Times New Roman"/>
          <w:spacing w:val="24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万元，</w:t>
      </w:r>
      <w:r>
        <w:rPr>
          <w:rFonts w:hint="default" w:ascii="Times New Roman" w:hAnsi="Times New Roman" w:eastAsia="仿宋_GB2312" w:cs="Times New Roman"/>
          <w:spacing w:val="-86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比上年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eastAsia" w:ascii="Times New Roman" w:hAnsi="Times New Roman" w:eastAsia="仿宋_GB2312" w:cs="Times New Roman"/>
          <w:sz w:val="31"/>
          <w:szCs w:val="31"/>
          <w:lang w:val="en-US" w:eastAsia="zh-CN"/>
        </w:rPr>
        <w:t>减少27.22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万元，</w:t>
      </w:r>
      <w:r>
        <w:rPr>
          <w:rFonts w:hint="eastAsia" w:ascii="Times New Roman" w:hAnsi="Times New Roman" w:eastAsia="仿宋_GB2312" w:cs="Times New Roman"/>
          <w:spacing w:val="7"/>
          <w:sz w:val="31"/>
          <w:szCs w:val="31"/>
          <w:lang w:val="en-US" w:eastAsia="zh-CN"/>
        </w:rPr>
        <w:t>下降3.9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 xml:space="preserve"> %，主要是</w:t>
      </w:r>
      <w:r>
        <w:rPr>
          <w:rFonts w:hint="eastAsia" w:ascii="Times New Roman" w:hAnsi="Times New Roman" w:eastAsia="仿宋_GB2312" w:cs="Times New Roman"/>
          <w:spacing w:val="7"/>
          <w:sz w:val="31"/>
          <w:szCs w:val="31"/>
          <w:lang w:val="en-US" w:eastAsia="zh-CN"/>
        </w:rPr>
        <w:t>本年度</w:t>
      </w:r>
      <w:r>
        <w:rPr>
          <w:rFonts w:hint="eastAsia" w:ascii="Times New Roman" w:hAnsi="Times New Roman" w:eastAsia="仿宋_GB2312" w:cs="Times New Roman"/>
          <w:spacing w:val="6"/>
          <w:sz w:val="31"/>
          <w:szCs w:val="31"/>
          <w:lang w:val="en-US" w:eastAsia="zh-CN"/>
        </w:rPr>
        <w:t>清算退休中人职业年金</w:t>
      </w:r>
      <w:r>
        <w:rPr>
          <w:rFonts w:hint="eastAsia" w:ascii="Times New Roman" w:hAnsi="Times New Roman" w:eastAsia="仿宋_GB2312" w:cs="Times New Roman"/>
          <w:spacing w:val="3"/>
          <w:sz w:val="31"/>
          <w:szCs w:val="31"/>
          <w:lang w:eastAsia="zh-CN"/>
        </w:rPr>
        <w:t>；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项目支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3"/>
          <w:sz w:val="31"/>
          <w:szCs w:val="31"/>
        </w:rPr>
        <w:t>出</w:t>
      </w:r>
      <w:r>
        <w:rPr>
          <w:rFonts w:hint="eastAsia" w:ascii="Times New Roman" w:hAnsi="Times New Roman" w:eastAsia="仿宋_GB2312" w:cs="Times New Roman"/>
          <w:spacing w:val="3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3"/>
          <w:sz w:val="31"/>
          <w:szCs w:val="31"/>
        </w:rPr>
        <w:t>万元，</w:t>
      </w:r>
      <w:r>
        <w:rPr>
          <w:rFonts w:hint="default" w:ascii="Times New Roman" w:hAnsi="Times New Roman" w:eastAsia="仿宋_GB2312" w:cs="Times New Roman"/>
          <w:spacing w:val="-78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3"/>
          <w:sz w:val="31"/>
          <w:szCs w:val="31"/>
        </w:rPr>
        <w:t>比上年增加</w:t>
      </w:r>
      <w:r>
        <w:rPr>
          <w:rFonts w:hint="eastAsia" w:ascii="Times New Roman" w:hAnsi="Times New Roman" w:eastAsia="仿宋_GB2312" w:cs="Times New Roman"/>
          <w:spacing w:val="3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3"/>
          <w:sz w:val="31"/>
          <w:szCs w:val="31"/>
        </w:rPr>
        <w:t>万元，增长</w:t>
      </w:r>
      <w:r>
        <w:rPr>
          <w:rFonts w:hint="eastAsia" w:ascii="Times New Roman" w:hAnsi="Times New Roman" w:eastAsia="仿宋_GB2312" w:cs="Times New Roman"/>
          <w:spacing w:val="3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52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3"/>
          <w:sz w:val="31"/>
          <w:szCs w:val="31"/>
        </w:rPr>
        <w:t>%，主</w:t>
      </w:r>
      <w:r>
        <w:rPr>
          <w:rFonts w:hint="default" w:ascii="Times New Roman" w:hAnsi="Times New Roman" w:eastAsia="仿宋_GB2312" w:cs="Times New Roman"/>
          <w:spacing w:val="-2"/>
          <w:sz w:val="31"/>
          <w:szCs w:val="31"/>
        </w:rPr>
        <w:t>要</w:t>
      </w:r>
      <w:r>
        <w:rPr>
          <w:rFonts w:hint="eastAsia" w:ascii="Times New Roman" w:hAnsi="Times New Roman" w:eastAsia="仿宋_GB2312" w:cs="Times New Roman"/>
          <w:spacing w:val="-2"/>
          <w:sz w:val="31"/>
          <w:szCs w:val="31"/>
          <w:lang w:val="en-US" w:eastAsia="zh-CN"/>
        </w:rPr>
        <w:t>是......</w:t>
      </w:r>
      <w:r>
        <w:rPr>
          <w:rFonts w:hint="default" w:ascii="Times New Roman" w:hAnsi="Times New Roman" w:eastAsia="仿宋_GB2312" w:cs="Times New Roman"/>
          <w:spacing w:val="-2"/>
          <w:sz w:val="31"/>
          <w:szCs w:val="31"/>
        </w:rPr>
        <w:t xml:space="preserve">；上缴上级支出 </w:t>
      </w:r>
      <w:r>
        <w:rPr>
          <w:rFonts w:hint="eastAsia" w:ascii="Times New Roman" w:hAnsi="Times New Roman" w:eastAsia="仿宋_GB2312" w:cs="Times New Roman"/>
          <w:spacing w:val="-2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-2"/>
          <w:sz w:val="31"/>
          <w:szCs w:val="31"/>
        </w:rPr>
        <w:t xml:space="preserve"> 万元，比上年增加</w:t>
      </w:r>
      <w:r>
        <w:rPr>
          <w:rFonts w:hint="eastAsia" w:ascii="Times New Roman" w:hAnsi="Times New Roman" w:eastAsia="仿宋_GB2312" w:cs="Times New Roman"/>
          <w:spacing w:val="-2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-2"/>
          <w:sz w:val="31"/>
          <w:szCs w:val="31"/>
        </w:rPr>
        <w:t>万元，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2"/>
          <w:sz w:val="31"/>
          <w:szCs w:val="31"/>
        </w:rPr>
        <w:t>增长</w:t>
      </w:r>
      <w:r>
        <w:rPr>
          <w:rFonts w:hint="eastAsia" w:ascii="Times New Roman" w:hAnsi="Times New Roman" w:eastAsia="仿宋_GB2312" w:cs="Times New Roman"/>
          <w:spacing w:val="2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52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2"/>
          <w:sz w:val="31"/>
          <w:szCs w:val="31"/>
        </w:rPr>
        <w:t>%，主要是</w:t>
      </w:r>
      <w:r>
        <w:rPr>
          <w:rFonts w:hint="default" w:ascii="Times New Roman" w:hAnsi="Times New Roman" w:eastAsia="仿宋_GB2312" w:cs="Times New Roman"/>
          <w:spacing w:val="-98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2"/>
          <w:sz w:val="31"/>
          <w:szCs w:val="31"/>
        </w:rPr>
        <w:t>……</w:t>
      </w:r>
      <w:r>
        <w:rPr>
          <w:rFonts w:hint="default" w:ascii="Times New Roman" w:hAnsi="Times New Roman" w:eastAsia="仿宋_GB2312" w:cs="Times New Roman"/>
          <w:spacing w:val="-118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2"/>
          <w:sz w:val="31"/>
          <w:szCs w:val="31"/>
        </w:rPr>
        <w:t>；经营支出</w:t>
      </w:r>
      <w:r>
        <w:rPr>
          <w:rFonts w:hint="default" w:ascii="Times New Roman" w:hAnsi="Times New Roman" w:eastAsia="仿宋_GB2312" w:cs="Times New Roman"/>
          <w:spacing w:val="46"/>
          <w:sz w:val="31"/>
          <w:szCs w:val="31"/>
        </w:rPr>
        <w:t xml:space="preserve"> </w:t>
      </w:r>
      <w:r>
        <w:rPr>
          <w:rFonts w:hint="eastAsia" w:ascii="Times New Roman" w:hAnsi="Times New Roman" w:eastAsia="仿宋_GB2312" w:cs="Times New Roman"/>
          <w:spacing w:val="46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2"/>
          <w:sz w:val="31"/>
          <w:szCs w:val="31"/>
        </w:rPr>
        <w:t>万元，</w:t>
      </w:r>
      <w:r>
        <w:rPr>
          <w:rFonts w:hint="default" w:ascii="Times New Roman" w:hAnsi="Times New Roman" w:eastAsia="仿宋_GB2312" w:cs="Times New Roman"/>
          <w:spacing w:val="-77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1"/>
          <w:sz w:val="31"/>
          <w:szCs w:val="31"/>
        </w:rPr>
        <w:t>比上年增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加</w:t>
      </w:r>
      <w:r>
        <w:rPr>
          <w:rFonts w:hint="eastAsia" w:ascii="Times New Roman" w:hAnsi="Times New Roman" w:eastAsia="仿宋_GB2312" w:cs="Times New Roman"/>
          <w:spacing w:val="7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万元，增长</w:t>
      </w:r>
      <w:r>
        <w:rPr>
          <w:rFonts w:hint="eastAsia" w:ascii="Times New Roman" w:hAnsi="Times New Roman" w:eastAsia="仿宋_GB2312" w:cs="Times New Roman"/>
          <w:spacing w:val="7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 xml:space="preserve"> %，主要是</w:t>
      </w:r>
      <w:r>
        <w:rPr>
          <w:rFonts w:hint="default" w:ascii="Times New Roman" w:hAnsi="Times New Roman" w:eastAsia="仿宋_GB2312" w:cs="Times New Roman"/>
          <w:spacing w:val="-101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……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；对附属单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15"/>
          <w:sz w:val="31"/>
          <w:szCs w:val="31"/>
        </w:rPr>
        <w:t>位补助支出</w:t>
      </w:r>
      <w:r>
        <w:rPr>
          <w:rFonts w:hint="default" w:ascii="Times New Roman" w:hAnsi="Times New Roman" w:eastAsia="仿宋_GB2312" w:cs="Times New Roman"/>
          <w:spacing w:val="45"/>
          <w:sz w:val="31"/>
          <w:szCs w:val="31"/>
        </w:rPr>
        <w:t xml:space="preserve"> </w:t>
      </w:r>
      <w:r>
        <w:rPr>
          <w:rFonts w:hint="eastAsia" w:ascii="Times New Roman" w:hAnsi="Times New Roman" w:eastAsia="仿宋_GB2312" w:cs="Times New Roman"/>
          <w:spacing w:val="45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-15"/>
          <w:sz w:val="31"/>
          <w:szCs w:val="31"/>
        </w:rPr>
        <w:t>万元，比上年增加</w:t>
      </w:r>
      <w:r>
        <w:rPr>
          <w:rFonts w:hint="eastAsia" w:ascii="Times New Roman" w:hAnsi="Times New Roman" w:eastAsia="仿宋_GB2312" w:cs="Times New Roman"/>
          <w:spacing w:val="-15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-15"/>
          <w:sz w:val="31"/>
          <w:szCs w:val="31"/>
        </w:rPr>
        <w:t>万元，增长</w:t>
      </w:r>
      <w:r>
        <w:rPr>
          <w:rFonts w:hint="eastAsia" w:ascii="Times New Roman" w:hAnsi="Times New Roman" w:eastAsia="仿宋_GB2312" w:cs="Times New Roman"/>
          <w:spacing w:val="-15"/>
          <w:sz w:val="31"/>
          <w:szCs w:val="31"/>
          <w:lang w:val="en-US" w:eastAsia="zh-CN"/>
        </w:rPr>
        <w:t>0</w:t>
      </w:r>
      <w:r>
        <w:rPr>
          <w:rFonts w:hint="default" w:ascii="Times New Roman" w:hAnsi="Times New Roman" w:eastAsia="仿宋_GB2312" w:cs="Times New Roman"/>
          <w:spacing w:val="-77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15"/>
          <w:sz w:val="31"/>
          <w:szCs w:val="31"/>
        </w:rPr>
        <w:t>%，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2"/>
          <w:sz w:val="31"/>
          <w:szCs w:val="31"/>
        </w:rPr>
        <w:t>主要是</w:t>
      </w:r>
      <w:r>
        <w:rPr>
          <w:rFonts w:hint="default" w:ascii="Times New Roman" w:hAnsi="Times New Roman" w:eastAsia="仿宋_GB2312" w:cs="Times New Roman"/>
          <w:spacing w:val="-101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2"/>
          <w:sz w:val="31"/>
          <w:szCs w:val="31"/>
        </w:rPr>
        <w:t>……。</w:t>
      </w:r>
    </w:p>
    <w:p w14:paraId="2A5A91C3">
      <w:pPr>
        <w:pStyle w:val="2"/>
        <w:spacing w:line="285" w:lineRule="auto"/>
        <w:rPr>
          <w:rFonts w:hint="default" w:ascii="Times New Roman" w:hAnsi="Times New Roman" w:eastAsia="仿宋_GB2312" w:cs="Times New Roman"/>
        </w:rPr>
      </w:pPr>
      <w:r>
        <w:rPr>
          <w:rFonts w:hint="eastAsia" w:ascii="Times New Roman" w:hAnsi="Times New Roman" w:eastAsia="仿宋_GB2312" w:cs="Times New Roman"/>
          <w:sz w:val="31"/>
          <w:szCs w:val="31"/>
          <w:lang w:eastAsia="zh-CN"/>
        </w:rPr>
        <w:drawing>
          <wp:inline distT="0" distB="0" distL="114300" distR="114300">
            <wp:extent cx="5256530" cy="2988310"/>
            <wp:effectExtent l="5080" t="4445" r="15240" b="55245"/>
            <wp:docPr id="9" name="图表 9" descr="7b0a202020202263686172745265734964223a20223230343735393537220a7d0a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0"/>
              </a:graphicData>
            </a:graphic>
          </wp:inline>
        </w:drawing>
      </w:r>
    </w:p>
    <w:p w14:paraId="0191EBC9">
      <w:pPr>
        <w:pStyle w:val="2"/>
        <w:spacing w:line="285" w:lineRule="auto"/>
        <w:rPr>
          <w:rFonts w:hint="default" w:ascii="Times New Roman" w:hAnsi="Times New Roman" w:eastAsia="仿宋_GB2312" w:cs="Times New Roman"/>
        </w:rPr>
      </w:pPr>
    </w:p>
    <w:p w14:paraId="13A060AC">
      <w:pPr>
        <w:spacing w:before="101" w:line="224" w:lineRule="auto"/>
        <w:ind w:left="686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四、财政拨款收入支出决算总体情况说明</w:t>
      </w:r>
    </w:p>
    <w:p w14:paraId="4B3BF637">
      <w:pPr>
        <w:spacing w:before="248" w:line="362" w:lineRule="auto"/>
        <w:ind w:left="23" w:right="86" w:firstLine="648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2023</w:t>
      </w:r>
      <w:r>
        <w:rPr>
          <w:rFonts w:hint="default" w:ascii="Times New Roman" w:hAnsi="Times New Roman" w:eastAsia="仿宋_GB2312" w:cs="Times New Roman"/>
          <w:spacing w:val="-37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年度财政拨款收、支总计均为</w:t>
      </w:r>
      <w:r>
        <w:rPr>
          <w:rFonts w:hint="eastAsia" w:ascii="Times New Roman" w:hAnsi="Times New Roman" w:eastAsia="仿宋_GB2312" w:cs="Times New Roman"/>
          <w:spacing w:val="6"/>
          <w:sz w:val="31"/>
          <w:szCs w:val="31"/>
          <w:lang w:val="en-US" w:eastAsia="zh-CN"/>
        </w:rPr>
        <w:t>672.48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5"/>
          <w:sz w:val="31"/>
          <w:szCs w:val="31"/>
        </w:rPr>
        <w:t>万元，与</w:t>
      </w:r>
      <w:r>
        <w:rPr>
          <w:rFonts w:hint="default" w:ascii="Times New Roman" w:hAnsi="Times New Roman" w:eastAsia="仿宋_GB2312" w:cs="Times New Roman"/>
          <w:spacing w:val="-33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5"/>
          <w:sz w:val="31"/>
          <w:szCs w:val="31"/>
        </w:rPr>
        <w:t>2022</w:t>
      </w:r>
      <w:r>
        <w:rPr>
          <w:rFonts w:hint="default" w:ascii="Times New Roman" w:hAnsi="Times New Roman" w:eastAsia="仿宋_GB2312" w:cs="Times New Roman"/>
          <w:spacing w:val="-37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5"/>
          <w:sz w:val="31"/>
          <w:szCs w:val="31"/>
        </w:rPr>
        <w:t>年</w:t>
      </w:r>
      <w:r>
        <w:rPr>
          <w:rFonts w:hint="default" w:ascii="Times New Roman" w:hAnsi="Times New Roman" w:eastAsia="仿宋_GB2312" w:cs="Times New Roman"/>
          <w:spacing w:val="-9"/>
          <w:sz w:val="31"/>
          <w:szCs w:val="31"/>
        </w:rPr>
        <w:t>相比，财政拨款收、支总计各</w:t>
      </w:r>
      <w:r>
        <w:rPr>
          <w:rFonts w:hint="eastAsia" w:ascii="Times New Roman" w:hAnsi="Times New Roman" w:eastAsia="仿宋_GB2312" w:cs="Times New Roman"/>
          <w:spacing w:val="-9"/>
          <w:sz w:val="31"/>
          <w:szCs w:val="31"/>
          <w:lang w:val="en-US" w:eastAsia="zh-CN"/>
        </w:rPr>
        <w:t>减少27.2</w:t>
      </w:r>
      <w:r>
        <w:rPr>
          <w:rFonts w:hint="default" w:ascii="Times New Roman" w:hAnsi="Times New Roman" w:eastAsia="仿宋_GB2312" w:cs="Times New Roman"/>
          <w:spacing w:val="-9"/>
          <w:sz w:val="31"/>
          <w:szCs w:val="31"/>
        </w:rPr>
        <w:t>万元，</w:t>
      </w:r>
      <w:r>
        <w:rPr>
          <w:rFonts w:hint="eastAsia" w:ascii="Times New Roman" w:hAnsi="Times New Roman" w:eastAsia="仿宋_GB2312" w:cs="Times New Roman"/>
          <w:spacing w:val="-9"/>
          <w:sz w:val="31"/>
          <w:szCs w:val="31"/>
          <w:lang w:val="en-US" w:eastAsia="zh-CN"/>
        </w:rPr>
        <w:t>下降3.9</w:t>
      </w:r>
      <w:r>
        <w:rPr>
          <w:rFonts w:hint="default" w:ascii="Times New Roman" w:hAnsi="Times New Roman" w:eastAsia="仿宋_GB2312" w:cs="Times New Roman"/>
          <w:spacing w:val="-1"/>
          <w:sz w:val="31"/>
          <w:szCs w:val="31"/>
        </w:rPr>
        <w:t>%。主要原因</w:t>
      </w:r>
      <w:r>
        <w:rPr>
          <w:rFonts w:hint="eastAsia" w:ascii="Times New Roman" w:hAnsi="Times New Roman" w:eastAsia="仿宋_GB2312" w:cs="Times New Roman"/>
          <w:spacing w:val="-1"/>
          <w:sz w:val="31"/>
          <w:szCs w:val="31"/>
          <w:lang w:val="en-US" w:eastAsia="zh-CN"/>
        </w:rPr>
        <w:t>本年度</w:t>
      </w:r>
      <w:r>
        <w:rPr>
          <w:rFonts w:hint="eastAsia" w:ascii="Times New Roman" w:hAnsi="Times New Roman" w:eastAsia="仿宋_GB2312" w:cs="Times New Roman"/>
          <w:spacing w:val="6"/>
          <w:sz w:val="31"/>
          <w:szCs w:val="31"/>
          <w:lang w:val="en-US" w:eastAsia="zh-CN"/>
        </w:rPr>
        <w:t>清算退休中人职业年金。</w:t>
      </w:r>
    </w:p>
    <w:p w14:paraId="586A7A4E">
      <w:pPr>
        <w:spacing w:before="50" w:line="356" w:lineRule="auto"/>
        <w:ind w:right="86"/>
        <w:rPr>
          <w:rFonts w:hint="eastAsia" w:ascii="Times New Roman" w:hAnsi="Times New Roman" w:eastAsia="仿宋_GB2312" w:cs="Times New Roman"/>
          <w:color w:val="FF0000"/>
          <w:spacing w:val="-10"/>
          <w:sz w:val="31"/>
          <w:szCs w:val="31"/>
          <w:lang w:eastAsia="zh-CN"/>
        </w:rPr>
      </w:pPr>
      <w:r>
        <w:rPr>
          <w:rFonts w:hint="eastAsia" w:ascii="Times New Roman" w:hAnsi="Times New Roman" w:eastAsia="仿宋_GB2312" w:cs="Times New Roman"/>
          <w:color w:val="FF0000"/>
          <w:spacing w:val="2"/>
          <w:sz w:val="31"/>
          <w:szCs w:val="31"/>
          <w:lang w:eastAsia="zh-CN"/>
        </w:rPr>
        <w:drawing>
          <wp:inline distT="0" distB="0" distL="114300" distR="114300">
            <wp:extent cx="5256530" cy="2988310"/>
            <wp:effectExtent l="5080" t="4445" r="15240" b="55245"/>
            <wp:docPr id="10" name="图表 10" descr="7b0a202020202263686172745265734964223a20223230323834303537220a7d0a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1"/>
              </a:graphicData>
            </a:graphic>
          </wp:inline>
        </w:drawing>
      </w:r>
    </w:p>
    <w:p w14:paraId="061B836E">
      <w:pPr>
        <w:pStyle w:val="2"/>
        <w:spacing w:line="286" w:lineRule="auto"/>
        <w:rPr>
          <w:rFonts w:hint="default" w:ascii="Times New Roman" w:hAnsi="Times New Roman" w:eastAsia="仿宋_GB2312" w:cs="Times New Roman"/>
        </w:rPr>
      </w:pPr>
    </w:p>
    <w:p w14:paraId="1F370688">
      <w:pPr>
        <w:spacing w:before="101" w:line="224" w:lineRule="auto"/>
        <w:ind w:left="676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五、一般公共预算财政拨款支出决算情况说明</w:t>
      </w:r>
    </w:p>
    <w:p w14:paraId="23C04410">
      <w:pPr>
        <w:spacing w:before="248" w:line="223" w:lineRule="auto"/>
        <w:ind w:left="662"/>
        <w:outlineLvl w:val="2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pacing w:val="-1"/>
          <w:sz w:val="31"/>
          <w:szCs w:val="31"/>
        </w:rPr>
        <w:t>（</w:t>
      </w:r>
      <w:r>
        <w:rPr>
          <w:rFonts w:hint="default" w:ascii="Times New Roman" w:hAnsi="Times New Roman" w:eastAsia="仿宋_GB2312" w:cs="Times New Roman"/>
          <w:spacing w:val="-63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b/>
          <w:bCs/>
          <w:spacing w:val="-1"/>
          <w:sz w:val="31"/>
          <w:szCs w:val="31"/>
        </w:rPr>
        <w:t>一</w:t>
      </w:r>
      <w:r>
        <w:rPr>
          <w:rFonts w:hint="default" w:ascii="Times New Roman" w:hAnsi="Times New Roman" w:eastAsia="仿宋_GB2312" w:cs="Times New Roman"/>
          <w:spacing w:val="-65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b/>
          <w:bCs/>
          <w:spacing w:val="-1"/>
          <w:sz w:val="31"/>
          <w:szCs w:val="31"/>
        </w:rPr>
        <w:t>）一般公共预算财政拨款支出决算总体情况</w:t>
      </w:r>
    </w:p>
    <w:p w14:paraId="3DBECA28">
      <w:pPr>
        <w:spacing w:before="249" w:line="223" w:lineRule="auto"/>
        <w:ind w:left="671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2023</w:t>
      </w:r>
      <w:r>
        <w:rPr>
          <w:rFonts w:hint="default" w:ascii="Times New Roman" w:hAnsi="Times New Roman" w:eastAsia="仿宋_GB2312" w:cs="Times New Roman"/>
          <w:spacing w:val="-54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年度一般公共预算财政拨款支出</w:t>
      </w:r>
      <w:r>
        <w:rPr>
          <w:rFonts w:hint="eastAsia" w:ascii="Times New Roman" w:hAnsi="Times New Roman" w:eastAsia="仿宋_GB2312" w:cs="Times New Roman"/>
          <w:spacing w:val="4"/>
          <w:sz w:val="31"/>
          <w:szCs w:val="31"/>
          <w:lang w:val="en-US" w:eastAsia="zh-CN"/>
        </w:rPr>
        <w:t>672.48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万元，占本年支</w:t>
      </w:r>
      <w:r>
        <w:rPr>
          <w:rFonts w:hint="default" w:ascii="Times New Roman" w:hAnsi="Times New Roman" w:eastAsia="仿宋_GB2312" w:cs="Times New Roman"/>
          <w:spacing w:val="3"/>
          <w:sz w:val="31"/>
          <w:szCs w:val="31"/>
        </w:rPr>
        <w:t xml:space="preserve">出合计的  </w:t>
      </w:r>
      <w:r>
        <w:rPr>
          <w:rFonts w:hint="eastAsia" w:ascii="Times New Roman" w:hAnsi="Times New Roman" w:eastAsia="仿宋_GB2312" w:cs="Times New Roman"/>
          <w:spacing w:val="3"/>
          <w:sz w:val="31"/>
          <w:szCs w:val="31"/>
          <w:lang w:val="en-US" w:eastAsia="zh-CN"/>
        </w:rPr>
        <w:t>100</w:t>
      </w:r>
      <w:r>
        <w:rPr>
          <w:rFonts w:hint="default" w:ascii="Times New Roman" w:hAnsi="Times New Roman" w:eastAsia="仿宋_GB2312" w:cs="Times New Roman"/>
          <w:spacing w:val="3"/>
          <w:sz w:val="31"/>
          <w:szCs w:val="31"/>
        </w:rPr>
        <w:t>%。与 2022</w:t>
      </w:r>
      <w:r>
        <w:rPr>
          <w:rFonts w:hint="default" w:ascii="Times New Roman" w:hAnsi="Times New Roman" w:eastAsia="仿宋_GB2312" w:cs="Times New Roman"/>
          <w:spacing w:val="-53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3"/>
          <w:sz w:val="31"/>
          <w:szCs w:val="31"/>
        </w:rPr>
        <w:t>年度相比，一般公共预算财政拨款支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1"/>
          <w:sz w:val="31"/>
          <w:szCs w:val="31"/>
        </w:rPr>
        <w:t>出</w:t>
      </w:r>
      <w:r>
        <w:rPr>
          <w:rFonts w:hint="eastAsia" w:ascii="Times New Roman" w:hAnsi="Times New Roman" w:eastAsia="仿宋_GB2312" w:cs="Times New Roman"/>
          <w:spacing w:val="-1"/>
          <w:sz w:val="31"/>
          <w:szCs w:val="31"/>
          <w:lang w:val="en-US" w:eastAsia="zh-CN"/>
        </w:rPr>
        <w:t>减少27.2</w:t>
      </w:r>
      <w:r>
        <w:rPr>
          <w:rFonts w:hint="default" w:ascii="Times New Roman" w:hAnsi="Times New Roman" w:eastAsia="仿宋_GB2312" w:cs="Times New Roman"/>
          <w:spacing w:val="-1"/>
          <w:sz w:val="31"/>
          <w:szCs w:val="31"/>
        </w:rPr>
        <w:t>万元，</w:t>
      </w:r>
      <w:r>
        <w:rPr>
          <w:rFonts w:hint="eastAsia" w:ascii="Times New Roman" w:hAnsi="Times New Roman" w:eastAsia="仿宋_GB2312" w:cs="Times New Roman"/>
          <w:spacing w:val="-1"/>
          <w:sz w:val="31"/>
          <w:szCs w:val="31"/>
          <w:lang w:val="en-US" w:eastAsia="zh-CN"/>
        </w:rPr>
        <w:t>下降3.9</w:t>
      </w:r>
      <w:r>
        <w:rPr>
          <w:rFonts w:hint="default" w:ascii="Times New Roman" w:hAnsi="Times New Roman" w:eastAsia="仿宋_GB2312" w:cs="Times New Roman"/>
          <w:spacing w:val="-1"/>
          <w:sz w:val="31"/>
          <w:szCs w:val="31"/>
        </w:rPr>
        <w:t xml:space="preserve"> %。主要原因：</w:t>
      </w:r>
      <w:r>
        <w:rPr>
          <w:rFonts w:hint="default" w:ascii="Times New Roman" w:hAnsi="Times New Roman" w:eastAsia="仿宋_GB2312" w:cs="Times New Roman"/>
          <w:spacing w:val="-53"/>
          <w:sz w:val="31"/>
          <w:szCs w:val="31"/>
        </w:rPr>
        <w:t xml:space="preserve"> </w:t>
      </w:r>
      <w:r>
        <w:rPr>
          <w:rFonts w:hint="eastAsia" w:ascii="Times New Roman" w:hAnsi="Times New Roman" w:eastAsia="仿宋_GB2312" w:cs="Times New Roman"/>
          <w:spacing w:val="-53"/>
          <w:sz w:val="31"/>
          <w:szCs w:val="31"/>
          <w:lang w:val="en-US" w:eastAsia="zh-CN"/>
        </w:rPr>
        <w:t>本年度</w:t>
      </w:r>
      <w:r>
        <w:rPr>
          <w:rFonts w:hint="eastAsia" w:ascii="Times New Roman" w:hAnsi="Times New Roman" w:eastAsia="仿宋_GB2312" w:cs="Times New Roman"/>
          <w:spacing w:val="6"/>
          <w:sz w:val="31"/>
          <w:szCs w:val="31"/>
          <w:lang w:val="en-US" w:eastAsia="zh-CN"/>
        </w:rPr>
        <w:t>清算退休中人职业年金。</w:t>
      </w:r>
    </w:p>
    <w:p w14:paraId="3835652E">
      <w:pPr>
        <w:spacing w:before="49" w:line="356" w:lineRule="auto"/>
        <w:ind w:right="92"/>
        <w:rPr>
          <w:rFonts w:hint="default" w:ascii="Times New Roman" w:hAnsi="Times New Roman" w:eastAsia="仿宋_GB2312" w:cs="Times New Roman"/>
          <w:color w:val="FF0000"/>
          <w:spacing w:val="2"/>
          <w:sz w:val="31"/>
          <w:szCs w:val="31"/>
        </w:rPr>
      </w:pPr>
      <w:r>
        <w:rPr>
          <w:rFonts w:hint="eastAsia" w:ascii="Times New Roman" w:hAnsi="Times New Roman" w:eastAsia="仿宋_GB2312" w:cs="Times New Roman"/>
          <w:color w:val="FF0000"/>
          <w:spacing w:val="2"/>
          <w:sz w:val="31"/>
          <w:szCs w:val="31"/>
          <w:lang w:eastAsia="zh-CN"/>
        </w:rPr>
        <w:drawing>
          <wp:inline distT="0" distB="0" distL="114300" distR="114300">
            <wp:extent cx="5256530" cy="2711450"/>
            <wp:effectExtent l="4445" t="4445" r="15875" b="65405"/>
            <wp:docPr id="11" name="图表 11" descr="7b0a202020202263686172745265734964223a20223230323834303537220a7d0a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2"/>
              </a:graphicData>
            </a:graphic>
          </wp:inline>
        </w:drawing>
      </w:r>
    </w:p>
    <w:p w14:paraId="5244FAD3">
      <w:pPr>
        <w:spacing w:before="51" w:line="223" w:lineRule="auto"/>
        <w:ind w:left="659"/>
        <w:outlineLvl w:val="2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pacing w:val="4"/>
          <w:sz w:val="31"/>
          <w:szCs w:val="31"/>
        </w:rPr>
        <w:t>（二）</w:t>
      </w:r>
      <w:r>
        <w:rPr>
          <w:rFonts w:hint="default" w:ascii="Times New Roman" w:hAnsi="Times New Roman" w:eastAsia="仿宋_GB2312" w:cs="Times New Roman"/>
          <w:spacing w:val="-80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b/>
          <w:bCs/>
          <w:spacing w:val="4"/>
          <w:sz w:val="31"/>
          <w:szCs w:val="31"/>
        </w:rPr>
        <w:t>一般公共预算财政拨款支出决算结构情况</w:t>
      </w:r>
    </w:p>
    <w:p w14:paraId="3B06312C">
      <w:pPr>
        <w:spacing w:before="251" w:line="364" w:lineRule="auto"/>
        <w:ind w:left="68" w:right="7" w:firstLine="603"/>
        <w:jc w:val="both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2023</w:t>
      </w:r>
      <w:r>
        <w:rPr>
          <w:rFonts w:hint="default" w:ascii="Times New Roman" w:hAnsi="Times New Roman" w:eastAsia="仿宋_GB2312" w:cs="Times New Roman"/>
          <w:spacing w:val="-54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年度一般公共预算财政拨款支出</w:t>
      </w:r>
      <w:r>
        <w:rPr>
          <w:rFonts w:hint="eastAsia" w:ascii="Times New Roman" w:hAnsi="Times New Roman" w:eastAsia="仿宋_GB2312" w:cs="Times New Roman"/>
          <w:spacing w:val="4"/>
          <w:sz w:val="31"/>
          <w:szCs w:val="31"/>
          <w:lang w:val="en-US" w:eastAsia="zh-CN"/>
        </w:rPr>
        <w:t>672.48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万元，主要用于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6"/>
          <w:sz w:val="31"/>
          <w:szCs w:val="31"/>
        </w:rPr>
        <w:t>以下方面：教育支出</w:t>
      </w:r>
      <w:r>
        <w:rPr>
          <w:rFonts w:hint="eastAsia" w:ascii="Times New Roman" w:hAnsi="Times New Roman" w:eastAsia="仿宋_GB2312" w:cs="Times New Roman"/>
          <w:spacing w:val="-6"/>
          <w:sz w:val="31"/>
          <w:szCs w:val="31"/>
          <w:lang w:val="en-US" w:eastAsia="zh-CN"/>
        </w:rPr>
        <w:t>507.92</w:t>
      </w:r>
      <w:r>
        <w:rPr>
          <w:rFonts w:hint="default" w:ascii="Times New Roman" w:hAnsi="Times New Roman" w:eastAsia="仿宋_GB2312" w:cs="Times New Roman"/>
          <w:spacing w:val="-6"/>
          <w:sz w:val="31"/>
          <w:szCs w:val="31"/>
        </w:rPr>
        <w:t>，占</w:t>
      </w:r>
      <w:r>
        <w:rPr>
          <w:rFonts w:hint="eastAsia" w:ascii="Times New Roman" w:hAnsi="Times New Roman" w:eastAsia="仿宋_GB2312" w:cs="Times New Roman"/>
          <w:spacing w:val="-6"/>
          <w:sz w:val="31"/>
          <w:szCs w:val="31"/>
          <w:lang w:val="en-US" w:eastAsia="zh-CN"/>
        </w:rPr>
        <w:t>75.5</w:t>
      </w:r>
      <w:r>
        <w:rPr>
          <w:rFonts w:hint="default" w:ascii="Times New Roman" w:hAnsi="Times New Roman" w:eastAsia="仿宋_GB2312" w:cs="Times New Roman"/>
          <w:spacing w:val="-6"/>
          <w:sz w:val="31"/>
          <w:szCs w:val="31"/>
        </w:rPr>
        <w:t xml:space="preserve"> %；社会保障和就业支出</w:t>
      </w:r>
      <w:r>
        <w:rPr>
          <w:rFonts w:hint="eastAsia" w:ascii="Times New Roman" w:hAnsi="Times New Roman" w:eastAsia="仿宋_GB2312" w:cs="Times New Roman"/>
          <w:spacing w:val="-6"/>
          <w:sz w:val="31"/>
          <w:szCs w:val="31"/>
          <w:lang w:val="en-US" w:eastAsia="zh-CN"/>
        </w:rPr>
        <w:t>97.22</w:t>
      </w:r>
      <w:r>
        <w:rPr>
          <w:rFonts w:hint="default" w:ascii="Times New Roman" w:hAnsi="Times New Roman" w:eastAsia="仿宋_GB2312" w:cs="Times New Roman"/>
          <w:spacing w:val="-6"/>
          <w:sz w:val="31"/>
          <w:szCs w:val="31"/>
        </w:rPr>
        <w:t>万元，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3"/>
          <w:sz w:val="31"/>
          <w:szCs w:val="31"/>
        </w:rPr>
        <w:t>占</w:t>
      </w:r>
      <w:r>
        <w:rPr>
          <w:rFonts w:hint="eastAsia" w:ascii="Times New Roman" w:hAnsi="Times New Roman" w:eastAsia="仿宋_GB2312" w:cs="Times New Roman"/>
          <w:spacing w:val="3"/>
          <w:sz w:val="31"/>
          <w:szCs w:val="31"/>
          <w:lang w:val="en-US" w:eastAsia="zh-CN"/>
        </w:rPr>
        <w:t>14.5</w:t>
      </w:r>
      <w:r>
        <w:rPr>
          <w:rFonts w:hint="default" w:ascii="Times New Roman" w:hAnsi="Times New Roman" w:eastAsia="仿宋_GB2312" w:cs="Times New Roman"/>
          <w:spacing w:val="3"/>
          <w:sz w:val="31"/>
          <w:szCs w:val="31"/>
        </w:rPr>
        <w:t>%；</w:t>
      </w:r>
      <w:r>
        <w:rPr>
          <w:rFonts w:hint="default" w:ascii="Times New Roman" w:hAnsi="Times New Roman" w:eastAsia="仿宋_GB2312" w:cs="Times New Roman"/>
          <w:sz w:val="31"/>
          <w:szCs w:val="31"/>
        </w:rPr>
        <w:t>卫生健康支出</w:t>
      </w:r>
      <w:r>
        <w:rPr>
          <w:rFonts w:hint="eastAsia" w:ascii="Times New Roman" w:hAnsi="Times New Roman" w:eastAsia="仿宋_GB2312" w:cs="Times New Roman"/>
          <w:sz w:val="31"/>
          <w:szCs w:val="31"/>
          <w:lang w:val="en-US" w:eastAsia="zh-CN"/>
        </w:rPr>
        <w:t>29.32</w:t>
      </w:r>
      <w:r>
        <w:rPr>
          <w:rFonts w:hint="default" w:ascii="Times New Roman" w:hAnsi="Times New Roman" w:eastAsia="仿宋_GB2312" w:cs="Times New Roman"/>
          <w:spacing w:val="3"/>
          <w:sz w:val="31"/>
          <w:szCs w:val="31"/>
        </w:rPr>
        <w:t xml:space="preserve"> 万元，占 </w:t>
      </w:r>
      <w:r>
        <w:rPr>
          <w:rFonts w:hint="eastAsia" w:ascii="Times New Roman" w:hAnsi="Times New Roman" w:eastAsia="仿宋_GB2312" w:cs="Times New Roman"/>
          <w:spacing w:val="3"/>
          <w:sz w:val="31"/>
          <w:szCs w:val="31"/>
          <w:lang w:val="en-US" w:eastAsia="zh-CN"/>
        </w:rPr>
        <w:t>4.4</w:t>
      </w:r>
      <w:r>
        <w:rPr>
          <w:rFonts w:hint="default" w:ascii="Times New Roman" w:hAnsi="Times New Roman" w:eastAsia="仿宋_GB2312" w:cs="Times New Roman"/>
          <w:spacing w:val="3"/>
          <w:sz w:val="31"/>
          <w:szCs w:val="31"/>
        </w:rPr>
        <w:t>%；</w:t>
      </w:r>
      <w:r>
        <w:rPr>
          <w:rFonts w:hint="default" w:ascii="Times New Roman" w:hAnsi="Times New Roman" w:eastAsia="仿宋_GB2312" w:cs="Times New Roman"/>
          <w:sz w:val="31"/>
          <w:szCs w:val="31"/>
        </w:rPr>
        <w:t>住房保障支出</w:t>
      </w:r>
      <w:r>
        <w:rPr>
          <w:rFonts w:hint="eastAsia" w:ascii="Times New Roman" w:hAnsi="Times New Roman" w:eastAsia="仿宋_GB2312" w:cs="Times New Roman"/>
          <w:sz w:val="31"/>
          <w:szCs w:val="31"/>
          <w:lang w:val="en-US" w:eastAsia="zh-CN"/>
        </w:rPr>
        <w:t>38.01</w:t>
      </w:r>
      <w:r>
        <w:rPr>
          <w:rFonts w:hint="default" w:ascii="Times New Roman" w:hAnsi="Times New Roman" w:eastAsia="仿宋_GB2312" w:cs="Times New Roman"/>
          <w:spacing w:val="3"/>
          <w:sz w:val="31"/>
          <w:szCs w:val="31"/>
        </w:rPr>
        <w:t>万元，占</w:t>
      </w:r>
      <w:r>
        <w:rPr>
          <w:rFonts w:hint="eastAsia" w:ascii="Times New Roman" w:hAnsi="Times New Roman" w:eastAsia="仿宋_GB2312" w:cs="Times New Roman"/>
          <w:spacing w:val="3"/>
          <w:sz w:val="31"/>
          <w:szCs w:val="31"/>
          <w:lang w:val="en-US" w:eastAsia="zh-CN"/>
        </w:rPr>
        <w:t>5.6</w:t>
      </w:r>
      <w:r>
        <w:rPr>
          <w:rFonts w:hint="default" w:ascii="Times New Roman" w:hAnsi="Times New Roman" w:eastAsia="仿宋_GB2312" w:cs="Times New Roman"/>
          <w:spacing w:val="10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3"/>
          <w:sz w:val="31"/>
          <w:szCs w:val="31"/>
        </w:rPr>
        <w:t>%；</w:t>
      </w:r>
    </w:p>
    <w:p w14:paraId="7C6C36FC">
      <w:pPr>
        <w:spacing w:before="49" w:line="356" w:lineRule="auto"/>
        <w:ind w:right="91"/>
        <w:rPr>
          <w:rFonts w:hint="default" w:ascii="Times New Roman" w:hAnsi="Times New Roman" w:eastAsia="仿宋_GB2312" w:cs="Times New Roman"/>
          <w:color w:val="FF0000"/>
          <w:spacing w:val="4"/>
          <w:sz w:val="31"/>
          <w:szCs w:val="31"/>
        </w:rPr>
      </w:pPr>
      <w:r>
        <w:rPr>
          <w:rFonts w:hint="eastAsia" w:ascii="Times New Roman" w:hAnsi="Times New Roman" w:eastAsia="仿宋_GB2312" w:cs="Times New Roman"/>
          <w:color w:val="FF0000"/>
          <w:spacing w:val="4"/>
          <w:sz w:val="31"/>
          <w:szCs w:val="31"/>
          <w:lang w:eastAsia="zh-CN"/>
        </w:rPr>
        <w:drawing>
          <wp:inline distT="0" distB="0" distL="114300" distR="114300">
            <wp:extent cx="5256530" cy="2988310"/>
            <wp:effectExtent l="5080" t="4445" r="15240" b="55245"/>
            <wp:docPr id="12" name="图表 12" descr="7b0a202020202263686172745265734964223a20223230343735393537220a7d0a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33"/>
              </a:graphicData>
            </a:graphic>
          </wp:inline>
        </w:drawing>
      </w:r>
    </w:p>
    <w:p w14:paraId="60312B63">
      <w:pPr>
        <w:spacing w:before="52" w:line="223" w:lineRule="auto"/>
        <w:ind w:left="659"/>
        <w:outlineLvl w:val="2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pacing w:val="4"/>
          <w:sz w:val="31"/>
          <w:szCs w:val="31"/>
        </w:rPr>
        <w:t>（三）</w:t>
      </w:r>
      <w:r>
        <w:rPr>
          <w:rFonts w:hint="default" w:ascii="Times New Roman" w:hAnsi="Times New Roman" w:eastAsia="仿宋_GB2312" w:cs="Times New Roman"/>
          <w:spacing w:val="-80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b/>
          <w:bCs/>
          <w:spacing w:val="4"/>
          <w:sz w:val="31"/>
          <w:szCs w:val="31"/>
        </w:rPr>
        <w:t>一般公共预算财政拨款支出决算具体情况</w:t>
      </w:r>
    </w:p>
    <w:p w14:paraId="1DF21809">
      <w:pPr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line="600" w:lineRule="exact"/>
        <w:ind w:firstLine="640" w:firstLineChars="200"/>
        <w:textAlignment w:val="baseline"/>
        <w:rPr>
          <w:rFonts w:hint="eastAsia" w:ascii="仿宋" w:hAnsi="仿宋" w:eastAsia="仿宋"/>
          <w:sz w:val="32"/>
          <w:szCs w:val="30"/>
        </w:rPr>
      </w:pPr>
      <w:r>
        <w:rPr>
          <w:rFonts w:hint="eastAsia" w:ascii="仿宋" w:hAnsi="仿宋" w:eastAsia="仿宋"/>
          <w:sz w:val="32"/>
          <w:szCs w:val="30"/>
        </w:rPr>
        <w:t>202</w:t>
      </w:r>
      <w:r>
        <w:rPr>
          <w:rFonts w:hint="eastAsia" w:ascii="仿宋" w:hAnsi="仿宋" w:eastAsia="仿宋"/>
          <w:sz w:val="32"/>
          <w:szCs w:val="30"/>
          <w:lang w:val="en-US" w:eastAsia="zh-CN"/>
        </w:rPr>
        <w:t>3</w:t>
      </w:r>
      <w:r>
        <w:rPr>
          <w:rFonts w:hint="eastAsia" w:ascii="仿宋" w:hAnsi="仿宋" w:eastAsia="仿宋"/>
          <w:sz w:val="32"/>
          <w:szCs w:val="30"/>
        </w:rPr>
        <w:t>年度一般</w:t>
      </w:r>
      <w:r>
        <w:rPr>
          <w:rFonts w:ascii="仿宋" w:hAnsi="仿宋" w:eastAsia="仿宋"/>
          <w:sz w:val="32"/>
          <w:szCs w:val="30"/>
        </w:rPr>
        <w:t>公共预算</w:t>
      </w:r>
      <w:r>
        <w:rPr>
          <w:rFonts w:hint="eastAsia" w:ascii="仿宋" w:hAnsi="仿宋" w:eastAsia="仿宋"/>
          <w:sz w:val="32"/>
          <w:szCs w:val="30"/>
        </w:rPr>
        <w:t>财政拨款支出年初预算为</w:t>
      </w:r>
      <w:r>
        <w:rPr>
          <w:rFonts w:hint="eastAsia" w:ascii="Times New Roman" w:hAnsi="Times New Roman" w:eastAsia="仿宋_GB2312" w:cs="Times New Roman"/>
          <w:spacing w:val="4"/>
          <w:sz w:val="31"/>
          <w:szCs w:val="31"/>
          <w:lang w:val="en-US" w:eastAsia="zh-CN"/>
        </w:rPr>
        <w:t>672.48</w:t>
      </w:r>
      <w:r>
        <w:rPr>
          <w:rFonts w:hint="eastAsia" w:ascii="仿宋" w:hAnsi="仿宋" w:eastAsia="仿宋"/>
          <w:sz w:val="32"/>
          <w:szCs w:val="30"/>
        </w:rPr>
        <w:t>万元，支出决算为</w:t>
      </w:r>
      <w:r>
        <w:rPr>
          <w:rFonts w:hint="eastAsia" w:ascii="Times New Roman" w:hAnsi="Times New Roman" w:eastAsia="仿宋_GB2312" w:cs="Times New Roman"/>
          <w:spacing w:val="4"/>
          <w:sz w:val="31"/>
          <w:szCs w:val="31"/>
          <w:lang w:val="en-US" w:eastAsia="zh-CN"/>
        </w:rPr>
        <w:t>672.48</w:t>
      </w:r>
      <w:r>
        <w:rPr>
          <w:rFonts w:hint="eastAsia" w:ascii="仿宋" w:hAnsi="仿宋" w:eastAsia="仿宋"/>
          <w:sz w:val="32"/>
          <w:szCs w:val="30"/>
        </w:rPr>
        <w:t>万元，完成年初预算的</w:t>
      </w:r>
      <w:r>
        <w:rPr>
          <w:rFonts w:hint="eastAsia" w:ascii="仿宋" w:hAnsi="仿宋" w:eastAsia="仿宋"/>
          <w:sz w:val="32"/>
          <w:szCs w:val="30"/>
          <w:lang w:val="en-US" w:eastAsia="zh-CN"/>
        </w:rPr>
        <w:t>100</w:t>
      </w:r>
      <w:r>
        <w:rPr>
          <w:rFonts w:hint="eastAsia" w:ascii="仿宋" w:hAnsi="仿宋" w:eastAsia="仿宋"/>
          <w:sz w:val="32"/>
          <w:szCs w:val="30"/>
        </w:rPr>
        <w:t>%。其中：</w:t>
      </w:r>
    </w:p>
    <w:p w14:paraId="4C1D7F13">
      <w:pPr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line="600" w:lineRule="exact"/>
        <w:ind w:firstLine="640" w:firstLineChars="200"/>
        <w:textAlignment w:val="baseline"/>
        <w:rPr>
          <w:rFonts w:hint="eastAsia" w:ascii="仿宋" w:hAnsi="仿宋" w:eastAsia="仿宋"/>
          <w:sz w:val="32"/>
        </w:rPr>
      </w:pPr>
      <w:r>
        <w:rPr>
          <w:rFonts w:hint="eastAsia" w:ascii="仿宋" w:hAnsi="仿宋" w:eastAsia="仿宋"/>
          <w:sz w:val="32"/>
          <w:lang w:val="en-US" w:eastAsia="zh-CN"/>
        </w:rPr>
        <w:t>1</w:t>
      </w:r>
      <w:r>
        <w:rPr>
          <w:rFonts w:hint="eastAsia" w:ascii="仿宋" w:hAnsi="仿宋" w:eastAsia="仿宋"/>
          <w:sz w:val="32"/>
        </w:rPr>
        <w:t>.</w:t>
      </w:r>
      <w:r>
        <w:rPr>
          <w:rFonts w:hint="eastAsia" w:ascii="仿宋" w:hAnsi="仿宋" w:eastAsia="仿宋"/>
          <w:sz w:val="32"/>
          <w:szCs w:val="30"/>
          <w:lang w:val="en-US" w:eastAsia="zh-CN"/>
        </w:rPr>
        <w:t>教育</w:t>
      </w:r>
      <w:r>
        <w:rPr>
          <w:rFonts w:hint="eastAsia" w:ascii="仿宋" w:hAnsi="仿宋" w:eastAsia="仿宋"/>
          <w:sz w:val="32"/>
          <w:szCs w:val="30"/>
        </w:rPr>
        <w:t>支出年初预算为</w:t>
      </w:r>
      <w:r>
        <w:rPr>
          <w:rFonts w:hint="eastAsia" w:ascii="Times New Roman" w:hAnsi="Times New Roman" w:eastAsia="仿宋_GB2312" w:cs="Times New Roman"/>
          <w:spacing w:val="-6"/>
          <w:sz w:val="31"/>
          <w:szCs w:val="31"/>
          <w:lang w:val="en-US" w:eastAsia="zh-CN"/>
        </w:rPr>
        <w:t>507.92</w:t>
      </w:r>
      <w:r>
        <w:rPr>
          <w:rFonts w:hint="eastAsia" w:ascii="仿宋" w:hAnsi="仿宋" w:eastAsia="仿宋"/>
          <w:sz w:val="32"/>
          <w:szCs w:val="30"/>
        </w:rPr>
        <w:t>万元，支出决算为</w:t>
      </w:r>
      <w:r>
        <w:rPr>
          <w:rFonts w:hint="eastAsia" w:ascii="Times New Roman" w:hAnsi="Times New Roman" w:eastAsia="仿宋_GB2312" w:cs="Times New Roman"/>
          <w:spacing w:val="-6"/>
          <w:sz w:val="31"/>
          <w:szCs w:val="31"/>
          <w:lang w:eastAsia="zh-CN"/>
        </w:rPr>
        <w:t>5</w:t>
      </w:r>
      <w:r>
        <w:rPr>
          <w:rFonts w:hint="eastAsia" w:ascii="Times New Roman" w:hAnsi="Times New Roman" w:eastAsia="仿宋_GB2312" w:cs="Times New Roman"/>
          <w:spacing w:val="-6"/>
          <w:sz w:val="31"/>
          <w:szCs w:val="31"/>
          <w:lang w:val="en-US" w:eastAsia="zh-CN"/>
        </w:rPr>
        <w:t>07.92</w:t>
      </w:r>
      <w:r>
        <w:rPr>
          <w:rFonts w:hint="eastAsia" w:ascii="仿宋" w:hAnsi="仿宋" w:eastAsia="仿宋"/>
          <w:sz w:val="32"/>
          <w:szCs w:val="30"/>
        </w:rPr>
        <w:t>万元，完成年初预算的</w:t>
      </w:r>
      <w:r>
        <w:rPr>
          <w:rFonts w:hint="eastAsia" w:ascii="仿宋" w:hAnsi="仿宋" w:eastAsia="仿宋"/>
          <w:sz w:val="32"/>
          <w:szCs w:val="30"/>
          <w:lang w:val="en-US" w:eastAsia="zh-CN"/>
        </w:rPr>
        <w:t>100</w:t>
      </w:r>
      <w:r>
        <w:rPr>
          <w:rFonts w:hint="eastAsia" w:ascii="仿宋" w:hAnsi="仿宋" w:eastAsia="仿宋"/>
          <w:sz w:val="32"/>
          <w:szCs w:val="30"/>
        </w:rPr>
        <w:t xml:space="preserve"> %。</w:t>
      </w:r>
      <w:r>
        <w:rPr>
          <w:rFonts w:hint="eastAsia" w:ascii="仿宋" w:hAnsi="仿宋" w:eastAsia="仿宋"/>
          <w:sz w:val="32"/>
          <w:szCs w:val="30"/>
          <w:lang w:eastAsia="zh-CN"/>
        </w:rPr>
        <w:t>完成本年</w:t>
      </w:r>
      <w:r>
        <w:rPr>
          <w:rFonts w:hint="eastAsia" w:ascii="仿宋" w:hAnsi="仿宋" w:eastAsia="仿宋"/>
          <w:sz w:val="32"/>
          <w:szCs w:val="30"/>
        </w:rPr>
        <w:t>预算。</w:t>
      </w:r>
    </w:p>
    <w:p w14:paraId="4626792F">
      <w:pPr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line="600" w:lineRule="exact"/>
        <w:ind w:firstLine="640" w:firstLineChars="200"/>
        <w:textAlignment w:val="baseline"/>
        <w:rPr>
          <w:rFonts w:hint="eastAsia" w:ascii="仿宋" w:hAnsi="仿宋" w:eastAsia="仿宋"/>
          <w:sz w:val="32"/>
        </w:rPr>
      </w:pPr>
      <w:r>
        <w:rPr>
          <w:rFonts w:hint="eastAsia" w:ascii="仿宋" w:hAnsi="仿宋" w:eastAsia="仿宋"/>
          <w:sz w:val="32"/>
          <w:lang w:val="en-US" w:eastAsia="zh-CN"/>
        </w:rPr>
        <w:t>2.</w:t>
      </w:r>
      <w:r>
        <w:rPr>
          <w:rFonts w:hint="eastAsia" w:ascii="仿宋" w:hAnsi="仿宋" w:eastAsia="仿宋"/>
          <w:sz w:val="32"/>
          <w:szCs w:val="30"/>
          <w:lang w:val="en-US" w:eastAsia="zh-CN"/>
        </w:rPr>
        <w:t>社会保障和就业支出</w:t>
      </w:r>
      <w:r>
        <w:rPr>
          <w:rFonts w:hint="eastAsia" w:ascii="仿宋" w:hAnsi="仿宋" w:eastAsia="仿宋"/>
          <w:sz w:val="32"/>
          <w:szCs w:val="30"/>
        </w:rPr>
        <w:t>预算</w:t>
      </w:r>
      <w:r>
        <w:rPr>
          <w:rFonts w:hint="eastAsia" w:ascii="仿宋" w:hAnsi="仿宋" w:eastAsia="仿宋"/>
          <w:sz w:val="32"/>
          <w:szCs w:val="30"/>
          <w:lang w:eastAsia="zh-CN"/>
        </w:rPr>
        <w:t>为</w:t>
      </w:r>
      <w:r>
        <w:rPr>
          <w:rFonts w:hint="eastAsia" w:ascii="Times New Roman" w:hAnsi="Times New Roman" w:eastAsia="仿宋_GB2312" w:cs="Times New Roman"/>
          <w:spacing w:val="-6"/>
          <w:sz w:val="31"/>
          <w:szCs w:val="31"/>
          <w:lang w:val="en-US" w:eastAsia="zh-CN"/>
        </w:rPr>
        <w:t>97.22</w:t>
      </w:r>
      <w:r>
        <w:rPr>
          <w:rFonts w:hint="eastAsia" w:ascii="仿宋" w:hAnsi="仿宋" w:eastAsia="仿宋"/>
          <w:sz w:val="32"/>
          <w:szCs w:val="30"/>
          <w:lang w:val="en-US" w:eastAsia="zh-CN"/>
        </w:rPr>
        <w:t>万元</w:t>
      </w:r>
      <w:r>
        <w:rPr>
          <w:rFonts w:hint="eastAsia" w:ascii="仿宋" w:hAnsi="仿宋" w:eastAsia="仿宋"/>
          <w:sz w:val="32"/>
          <w:szCs w:val="30"/>
        </w:rPr>
        <w:t>，支出决算为</w:t>
      </w:r>
      <w:r>
        <w:rPr>
          <w:rFonts w:hint="eastAsia" w:ascii="Times New Roman" w:hAnsi="Times New Roman" w:eastAsia="仿宋_GB2312" w:cs="Times New Roman"/>
          <w:spacing w:val="-6"/>
          <w:sz w:val="31"/>
          <w:szCs w:val="31"/>
          <w:lang w:val="en-US" w:eastAsia="zh-CN"/>
        </w:rPr>
        <w:t>97.22</w:t>
      </w:r>
      <w:r>
        <w:rPr>
          <w:rFonts w:hint="eastAsia" w:ascii="仿宋" w:hAnsi="仿宋" w:eastAsia="仿宋"/>
          <w:sz w:val="32"/>
          <w:szCs w:val="30"/>
        </w:rPr>
        <w:t>万元，</w:t>
      </w:r>
      <w:r>
        <w:rPr>
          <w:rFonts w:hint="eastAsia" w:ascii="仿宋" w:hAnsi="仿宋" w:eastAsia="仿宋"/>
          <w:sz w:val="32"/>
          <w:szCs w:val="30"/>
          <w:lang w:eastAsia="zh-CN"/>
        </w:rPr>
        <w:t>完成本年</w:t>
      </w:r>
      <w:r>
        <w:rPr>
          <w:rFonts w:hint="eastAsia" w:ascii="仿宋" w:hAnsi="仿宋" w:eastAsia="仿宋"/>
          <w:sz w:val="32"/>
          <w:szCs w:val="30"/>
        </w:rPr>
        <w:t>预算。</w:t>
      </w:r>
    </w:p>
    <w:p w14:paraId="7F7664E1">
      <w:pPr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line="600" w:lineRule="exact"/>
        <w:ind w:firstLine="640" w:firstLineChars="200"/>
        <w:textAlignment w:val="baseline"/>
        <w:rPr>
          <w:rFonts w:hint="eastAsia" w:ascii="仿宋" w:hAnsi="仿宋" w:eastAsia="仿宋"/>
          <w:sz w:val="32"/>
          <w:szCs w:val="30"/>
        </w:rPr>
      </w:pPr>
      <w:r>
        <w:rPr>
          <w:rFonts w:hint="eastAsia" w:ascii="仿宋" w:hAnsi="仿宋" w:eastAsia="仿宋"/>
          <w:sz w:val="32"/>
          <w:szCs w:val="30"/>
          <w:lang w:val="en-US" w:eastAsia="zh-CN"/>
        </w:rPr>
        <w:t>3</w:t>
      </w:r>
      <w:r>
        <w:rPr>
          <w:rFonts w:hint="eastAsia" w:ascii="仿宋" w:hAnsi="仿宋" w:eastAsia="仿宋"/>
          <w:sz w:val="32"/>
          <w:szCs w:val="30"/>
        </w:rPr>
        <w:t>.</w:t>
      </w:r>
      <w:r>
        <w:rPr>
          <w:rFonts w:hint="eastAsia" w:ascii="仿宋" w:hAnsi="仿宋" w:eastAsia="仿宋"/>
          <w:sz w:val="32"/>
          <w:szCs w:val="30"/>
          <w:lang w:val="en-US" w:eastAsia="zh-CN"/>
        </w:rPr>
        <w:t>卫生健康支出</w:t>
      </w:r>
      <w:r>
        <w:rPr>
          <w:rFonts w:hint="eastAsia" w:ascii="仿宋" w:hAnsi="仿宋" w:eastAsia="仿宋"/>
          <w:sz w:val="32"/>
          <w:szCs w:val="30"/>
        </w:rPr>
        <w:t>预算</w:t>
      </w:r>
      <w:r>
        <w:rPr>
          <w:rFonts w:hint="eastAsia" w:ascii="仿宋" w:hAnsi="仿宋" w:eastAsia="仿宋"/>
          <w:sz w:val="32"/>
          <w:szCs w:val="30"/>
          <w:lang w:eastAsia="zh-CN"/>
        </w:rPr>
        <w:t>为</w:t>
      </w:r>
      <w:r>
        <w:rPr>
          <w:rFonts w:hint="eastAsia" w:ascii="Times New Roman" w:hAnsi="Times New Roman" w:eastAsia="仿宋_GB2312" w:cs="Times New Roman"/>
          <w:sz w:val="31"/>
          <w:szCs w:val="31"/>
          <w:lang w:val="en-US" w:eastAsia="zh-CN"/>
        </w:rPr>
        <w:t>29.32</w:t>
      </w:r>
      <w:r>
        <w:rPr>
          <w:rFonts w:hint="eastAsia" w:ascii="仿宋" w:hAnsi="仿宋" w:eastAsia="仿宋"/>
          <w:sz w:val="32"/>
          <w:szCs w:val="30"/>
          <w:lang w:val="en-US" w:eastAsia="zh-CN"/>
        </w:rPr>
        <w:t>万元</w:t>
      </w:r>
      <w:r>
        <w:rPr>
          <w:rFonts w:hint="eastAsia" w:ascii="仿宋" w:hAnsi="仿宋" w:eastAsia="仿宋"/>
          <w:sz w:val="32"/>
          <w:szCs w:val="30"/>
        </w:rPr>
        <w:t>，支出决算为</w:t>
      </w:r>
      <w:r>
        <w:rPr>
          <w:rFonts w:hint="eastAsia" w:ascii="Times New Roman" w:hAnsi="Times New Roman" w:eastAsia="仿宋_GB2312" w:cs="Times New Roman"/>
          <w:sz w:val="31"/>
          <w:szCs w:val="31"/>
          <w:lang w:val="en-US" w:eastAsia="zh-CN"/>
        </w:rPr>
        <w:t>29.32</w:t>
      </w:r>
      <w:r>
        <w:rPr>
          <w:rFonts w:hint="eastAsia" w:ascii="仿宋" w:hAnsi="仿宋" w:eastAsia="仿宋"/>
          <w:sz w:val="32"/>
          <w:szCs w:val="30"/>
        </w:rPr>
        <w:t>万元，</w:t>
      </w:r>
      <w:r>
        <w:rPr>
          <w:rFonts w:hint="eastAsia" w:ascii="仿宋" w:hAnsi="仿宋" w:eastAsia="仿宋"/>
          <w:sz w:val="32"/>
          <w:szCs w:val="30"/>
          <w:lang w:eastAsia="zh-CN"/>
        </w:rPr>
        <w:t>完成本年</w:t>
      </w:r>
      <w:r>
        <w:rPr>
          <w:rFonts w:hint="eastAsia" w:ascii="仿宋" w:hAnsi="仿宋" w:eastAsia="仿宋"/>
          <w:sz w:val="32"/>
          <w:szCs w:val="30"/>
        </w:rPr>
        <w:t>预算。</w:t>
      </w:r>
    </w:p>
    <w:p w14:paraId="1FC5C152">
      <w:pPr>
        <w:keepNext w:val="0"/>
        <w:keepLines w:val="0"/>
        <w:pageBreakBefore w:val="0"/>
        <w:widowControl/>
        <w:kinsoku w:val="0"/>
        <w:wordWrap/>
        <w:overflowPunct/>
        <w:topLinePunct w:val="0"/>
        <w:autoSpaceDE w:val="0"/>
        <w:autoSpaceDN w:val="0"/>
        <w:bidi w:val="0"/>
        <w:adjustRightInd w:val="0"/>
        <w:snapToGrid w:val="0"/>
        <w:spacing w:line="600" w:lineRule="exact"/>
        <w:ind w:firstLine="640" w:firstLineChars="200"/>
        <w:textAlignment w:val="baseline"/>
        <w:rPr>
          <w:rFonts w:hint="eastAsia" w:ascii="仿宋" w:hAnsi="仿宋" w:eastAsia="仿宋"/>
          <w:sz w:val="32"/>
          <w:szCs w:val="30"/>
        </w:rPr>
      </w:pPr>
      <w:r>
        <w:rPr>
          <w:rFonts w:hint="eastAsia" w:ascii="仿宋" w:hAnsi="仿宋" w:eastAsia="仿宋"/>
          <w:sz w:val="32"/>
          <w:szCs w:val="30"/>
          <w:lang w:val="en-US" w:eastAsia="zh-CN"/>
        </w:rPr>
        <w:t>4.住房保障支出</w:t>
      </w:r>
      <w:r>
        <w:rPr>
          <w:rFonts w:hint="eastAsia" w:ascii="仿宋" w:hAnsi="仿宋" w:eastAsia="仿宋"/>
          <w:sz w:val="32"/>
          <w:szCs w:val="30"/>
        </w:rPr>
        <w:t>预算</w:t>
      </w:r>
      <w:r>
        <w:rPr>
          <w:rFonts w:hint="eastAsia" w:ascii="仿宋" w:hAnsi="仿宋" w:eastAsia="仿宋"/>
          <w:sz w:val="32"/>
          <w:szCs w:val="30"/>
          <w:lang w:eastAsia="zh-CN"/>
        </w:rPr>
        <w:t>为</w:t>
      </w:r>
      <w:r>
        <w:rPr>
          <w:rFonts w:hint="eastAsia" w:ascii="仿宋" w:hAnsi="仿宋" w:eastAsia="仿宋"/>
          <w:sz w:val="32"/>
          <w:szCs w:val="30"/>
          <w:lang w:val="en-US" w:eastAsia="zh-CN"/>
        </w:rPr>
        <w:t>38.01万元</w:t>
      </w:r>
      <w:r>
        <w:rPr>
          <w:rFonts w:hint="eastAsia" w:ascii="仿宋" w:hAnsi="仿宋" w:eastAsia="仿宋"/>
          <w:sz w:val="32"/>
          <w:szCs w:val="30"/>
        </w:rPr>
        <w:t>，支出决算为</w:t>
      </w:r>
      <w:r>
        <w:rPr>
          <w:rFonts w:hint="eastAsia" w:ascii="Times New Roman" w:hAnsi="Times New Roman" w:eastAsia="仿宋_GB2312" w:cs="Times New Roman"/>
          <w:sz w:val="31"/>
          <w:szCs w:val="31"/>
          <w:lang w:val="en-US" w:eastAsia="zh-CN"/>
        </w:rPr>
        <w:t>38.01</w:t>
      </w:r>
      <w:r>
        <w:rPr>
          <w:rFonts w:hint="default" w:ascii="Times New Roman" w:hAnsi="Times New Roman" w:eastAsia="仿宋_GB2312" w:cs="Times New Roman"/>
          <w:spacing w:val="20"/>
          <w:sz w:val="31"/>
          <w:szCs w:val="31"/>
        </w:rPr>
        <w:t xml:space="preserve"> </w:t>
      </w:r>
      <w:r>
        <w:rPr>
          <w:rFonts w:hint="eastAsia" w:ascii="仿宋" w:hAnsi="仿宋" w:eastAsia="仿宋"/>
          <w:sz w:val="32"/>
          <w:szCs w:val="30"/>
        </w:rPr>
        <w:t>万元，</w:t>
      </w:r>
      <w:r>
        <w:rPr>
          <w:rFonts w:hint="eastAsia" w:ascii="仿宋" w:hAnsi="仿宋" w:eastAsia="仿宋"/>
          <w:sz w:val="32"/>
          <w:szCs w:val="30"/>
          <w:lang w:eastAsia="zh-CN"/>
        </w:rPr>
        <w:t>完成本年</w:t>
      </w:r>
      <w:r>
        <w:rPr>
          <w:rFonts w:hint="eastAsia" w:ascii="仿宋" w:hAnsi="仿宋" w:eastAsia="仿宋"/>
          <w:sz w:val="32"/>
          <w:szCs w:val="30"/>
        </w:rPr>
        <w:t>预算。</w:t>
      </w:r>
    </w:p>
    <w:p w14:paraId="3A28EA88">
      <w:pPr>
        <w:spacing w:before="74" w:line="223" w:lineRule="auto"/>
        <w:ind w:left="675"/>
        <w:rPr>
          <w:rFonts w:hint="default" w:ascii="Times New Roman" w:hAnsi="Times New Roman" w:eastAsia="仿宋_GB2312" w:cs="Times New Roman"/>
          <w:sz w:val="31"/>
          <w:szCs w:val="31"/>
        </w:rPr>
      </w:pPr>
    </w:p>
    <w:p w14:paraId="4AE11DE3">
      <w:pPr>
        <w:pStyle w:val="2"/>
        <w:spacing w:line="255" w:lineRule="auto"/>
        <w:rPr>
          <w:rFonts w:hint="default" w:ascii="Times New Roman" w:hAnsi="Times New Roman" w:eastAsia="仿宋_GB2312" w:cs="Times New Roman"/>
        </w:rPr>
      </w:pPr>
    </w:p>
    <w:p w14:paraId="1E5DC387">
      <w:pPr>
        <w:pStyle w:val="2"/>
        <w:spacing w:line="256" w:lineRule="auto"/>
        <w:rPr>
          <w:rFonts w:hint="default" w:ascii="Times New Roman" w:hAnsi="Times New Roman" w:eastAsia="仿宋_GB2312" w:cs="Times New Roman"/>
        </w:rPr>
      </w:pPr>
    </w:p>
    <w:p w14:paraId="27265BD0">
      <w:pPr>
        <w:pStyle w:val="2"/>
        <w:spacing w:line="256" w:lineRule="auto"/>
        <w:rPr>
          <w:rFonts w:hint="default" w:ascii="Times New Roman" w:hAnsi="Times New Roman" w:eastAsia="仿宋_GB2312" w:cs="Times New Roman"/>
        </w:rPr>
      </w:pPr>
    </w:p>
    <w:p w14:paraId="2E7F4F2E">
      <w:pPr>
        <w:spacing w:before="101" w:line="224" w:lineRule="auto"/>
        <w:ind w:left="677"/>
        <w:rPr>
          <w:rFonts w:hint="default" w:ascii="Times New Roman" w:hAnsi="Times New Roman" w:eastAsia="仿宋_GB2312" w:cs="Times New Roman"/>
          <w:spacing w:val="8"/>
          <w:sz w:val="31"/>
          <w:szCs w:val="31"/>
        </w:rPr>
      </w:pPr>
    </w:p>
    <w:p w14:paraId="4B8F5F5C">
      <w:pPr>
        <w:spacing w:before="101" w:line="224" w:lineRule="auto"/>
        <w:ind w:left="677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六、一般公共预算财政拨款基本支出决算情况说明</w:t>
      </w:r>
    </w:p>
    <w:p w14:paraId="5DC74B25">
      <w:pPr>
        <w:spacing w:before="247" w:line="357" w:lineRule="auto"/>
        <w:ind w:left="64" w:right="96" w:firstLine="607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12"/>
          <w:sz w:val="31"/>
          <w:szCs w:val="31"/>
        </w:rPr>
        <w:t>2023年度一般公共预算财政拨款基本支出</w:t>
      </w:r>
      <w:r>
        <w:rPr>
          <w:rFonts w:hint="default" w:ascii="Times New Roman" w:hAnsi="Times New Roman" w:eastAsia="仿宋_GB2312" w:cs="Times New Roman"/>
          <w:spacing w:val="33"/>
          <w:sz w:val="31"/>
          <w:szCs w:val="31"/>
        </w:rPr>
        <w:t xml:space="preserve"> </w:t>
      </w:r>
      <w:r>
        <w:rPr>
          <w:rFonts w:hint="eastAsia" w:ascii="Times New Roman" w:hAnsi="Times New Roman" w:eastAsia="仿宋_GB2312" w:cs="Times New Roman"/>
          <w:spacing w:val="4"/>
          <w:sz w:val="31"/>
          <w:szCs w:val="31"/>
          <w:lang w:val="en-US" w:eastAsia="zh-CN"/>
        </w:rPr>
        <w:t>672.48</w:t>
      </w:r>
      <w:r>
        <w:rPr>
          <w:rFonts w:hint="default" w:ascii="Times New Roman" w:hAnsi="Times New Roman" w:eastAsia="仿宋_GB2312" w:cs="Times New Roman"/>
          <w:spacing w:val="12"/>
          <w:sz w:val="31"/>
          <w:szCs w:val="31"/>
        </w:rPr>
        <w:t>万元，其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30"/>
          <w:sz w:val="31"/>
          <w:szCs w:val="31"/>
        </w:rPr>
        <w:t>中：</w:t>
      </w:r>
    </w:p>
    <w:p w14:paraId="746AF25E">
      <w:pPr>
        <w:spacing w:before="53" w:line="367" w:lineRule="auto"/>
        <w:ind w:left="29" w:right="98" w:firstLine="643"/>
        <w:jc w:val="both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pacing w:val="7"/>
          <w:sz w:val="31"/>
          <w:szCs w:val="31"/>
        </w:rPr>
        <w:t>人员经费</w:t>
      </w:r>
      <w:r>
        <w:rPr>
          <w:rFonts w:hint="eastAsia" w:ascii="Times New Roman" w:hAnsi="Times New Roman" w:eastAsia="仿宋_GB2312" w:cs="Times New Roman"/>
          <w:b w:val="0"/>
          <w:bCs w:val="0"/>
          <w:spacing w:val="7"/>
          <w:sz w:val="31"/>
          <w:szCs w:val="31"/>
          <w:lang w:val="en-US" w:eastAsia="zh-CN"/>
        </w:rPr>
        <w:t>591.03</w:t>
      </w:r>
      <w:r>
        <w:rPr>
          <w:rFonts w:hint="default" w:ascii="Times New Roman" w:hAnsi="Times New Roman" w:eastAsia="仿宋_GB2312" w:cs="Times New Roman"/>
          <w:b/>
          <w:bCs/>
          <w:spacing w:val="7"/>
          <w:sz w:val="31"/>
          <w:szCs w:val="31"/>
        </w:rPr>
        <w:t>万元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，主要包括：基本工资、津贴补贴、奖</w:t>
      </w:r>
      <w:r>
        <w:rPr>
          <w:rFonts w:hint="default" w:ascii="Times New Roman" w:hAnsi="Times New Roman" w:eastAsia="仿宋_GB2312" w:cs="Times New Roman"/>
          <w:spacing w:val="12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>金、伙食补助费、绩效工资、机关事业单位基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本养老保险缴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>费、职业年金缴费、职工基本医疗保险缴费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、公务员医疗补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5"/>
          <w:sz w:val="31"/>
          <w:szCs w:val="31"/>
        </w:rPr>
        <w:t>助缴费、其他社会保障缴费、住房公积金、医疗费、</w:t>
      </w:r>
      <w:r>
        <w:rPr>
          <w:rFonts w:hint="default" w:ascii="Times New Roman" w:hAnsi="Times New Roman" w:eastAsia="仿宋_GB2312" w:cs="Times New Roman"/>
          <w:spacing w:val="-54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5"/>
          <w:sz w:val="31"/>
          <w:szCs w:val="31"/>
        </w:rPr>
        <w:t>其他工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3"/>
          <w:sz w:val="31"/>
          <w:szCs w:val="31"/>
        </w:rPr>
        <w:t>资福利支出、离休费、退休费、退职（役） 费</w:t>
      </w:r>
      <w:r>
        <w:rPr>
          <w:rFonts w:hint="default" w:ascii="Times New Roman" w:hAnsi="Times New Roman" w:eastAsia="仿宋_GB2312" w:cs="Times New Roman"/>
          <w:spacing w:val="2"/>
          <w:sz w:val="31"/>
          <w:szCs w:val="31"/>
        </w:rPr>
        <w:t>、抚恤金、生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>活补助、救济费、医疗费补助、助学金、奖励金、个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人农业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>生产补贴、代缴社会保险费和其他对</w:t>
      </w:r>
      <w:bookmarkStart w:id="0" w:name="_GoBack"/>
      <w:bookmarkEnd w:id="0"/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>个人和家庭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的补助。</w:t>
      </w:r>
    </w:p>
    <w:p w14:paraId="31F0329F">
      <w:pPr>
        <w:spacing w:before="254" w:line="367" w:lineRule="auto"/>
        <w:ind w:left="26" w:firstLine="641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pacing w:val="-1"/>
          <w:sz w:val="31"/>
          <w:szCs w:val="31"/>
        </w:rPr>
        <w:t>公用经费</w:t>
      </w:r>
      <w:r>
        <w:rPr>
          <w:rFonts w:hint="eastAsia" w:ascii="Times New Roman" w:hAnsi="Times New Roman" w:eastAsia="仿宋_GB2312" w:cs="Times New Roman"/>
          <w:b w:val="0"/>
          <w:bCs w:val="0"/>
          <w:spacing w:val="-1"/>
          <w:sz w:val="31"/>
          <w:szCs w:val="31"/>
          <w:lang w:val="en-US" w:eastAsia="zh-CN"/>
        </w:rPr>
        <w:t>81.45</w:t>
      </w:r>
      <w:r>
        <w:rPr>
          <w:rFonts w:hint="default" w:ascii="Times New Roman" w:hAnsi="Times New Roman" w:eastAsia="仿宋_GB2312" w:cs="Times New Roman"/>
          <w:b/>
          <w:bCs/>
          <w:spacing w:val="-1"/>
          <w:sz w:val="31"/>
          <w:szCs w:val="31"/>
        </w:rPr>
        <w:t>万元</w:t>
      </w:r>
      <w:r>
        <w:rPr>
          <w:rFonts w:hint="default" w:ascii="Times New Roman" w:hAnsi="Times New Roman" w:eastAsia="仿宋_GB2312" w:cs="Times New Roman"/>
          <w:spacing w:val="-1"/>
          <w:sz w:val="31"/>
          <w:szCs w:val="31"/>
        </w:rPr>
        <w:t>，主要包括：办公费、印刷费、咨询费、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>手续费、水费、电费、邮电费、取暖费、物业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管理费、差旅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费、因公出国（境）费、维修（护）费、租赁</w:t>
      </w:r>
      <w:r>
        <w:rPr>
          <w:rFonts w:hint="default" w:ascii="Times New Roman" w:hAnsi="Times New Roman" w:eastAsia="仿宋_GB2312" w:cs="Times New Roman"/>
          <w:spacing w:val="-1"/>
          <w:sz w:val="31"/>
          <w:szCs w:val="31"/>
        </w:rPr>
        <w:t>费、</w:t>
      </w:r>
      <w:r>
        <w:rPr>
          <w:rFonts w:hint="default" w:ascii="Times New Roman" w:hAnsi="Times New Roman" w:eastAsia="仿宋_GB2312" w:cs="Times New Roman"/>
          <w:spacing w:val="85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1"/>
          <w:sz w:val="31"/>
          <w:szCs w:val="31"/>
        </w:rPr>
        <w:t>会议费、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>培训费、公务接待费、专用材料费、被装购置费、专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用燃料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>费、劳务费、委托业务费、工会经费、福利费、公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务用车运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>行维护费、其他交通费用、税金及附加费用、其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他商品和服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>务支出、房屋建筑物购建、办公设备购置、专用设备购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置、</w:t>
      </w:r>
    </w:p>
    <w:p w14:paraId="7C1A908C">
      <w:pPr>
        <w:spacing w:line="367" w:lineRule="auto"/>
        <w:rPr>
          <w:rFonts w:hint="default" w:ascii="Times New Roman" w:hAnsi="Times New Roman" w:eastAsia="仿宋_GB2312" w:cs="Times New Roman"/>
          <w:sz w:val="31"/>
          <w:szCs w:val="31"/>
        </w:rPr>
        <w:sectPr>
          <w:footerReference r:id="rId9" w:type="default"/>
          <w:pgSz w:w="11907" w:h="16839"/>
          <w:pgMar w:top="1431" w:right="1699" w:bottom="1153" w:left="1785" w:header="0" w:footer="965" w:gutter="0"/>
          <w:cols w:space="720" w:num="1"/>
        </w:sectPr>
      </w:pPr>
    </w:p>
    <w:p w14:paraId="13575BAF">
      <w:pPr>
        <w:spacing w:before="158" w:line="356" w:lineRule="auto"/>
        <w:ind w:left="39" w:right="161" w:hanging="18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>基础设施建设、大型修缮、信息网络及软件购置更新、其他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资本性支出</w:t>
      </w:r>
    </w:p>
    <w:p w14:paraId="5B94F5AB">
      <w:pPr>
        <w:pStyle w:val="2"/>
        <w:spacing w:line="256" w:lineRule="auto"/>
        <w:rPr>
          <w:rFonts w:hint="default" w:ascii="Times New Roman" w:hAnsi="Times New Roman" w:eastAsia="仿宋_GB2312" w:cs="Times New Roman"/>
        </w:rPr>
      </w:pPr>
    </w:p>
    <w:p w14:paraId="2B8C5070">
      <w:pPr>
        <w:pStyle w:val="2"/>
        <w:spacing w:line="256" w:lineRule="auto"/>
        <w:rPr>
          <w:rFonts w:hint="default" w:ascii="Times New Roman" w:hAnsi="Times New Roman" w:eastAsia="仿宋_GB2312" w:cs="Times New Roman"/>
        </w:rPr>
      </w:pPr>
    </w:p>
    <w:p w14:paraId="07EFC623">
      <w:pPr>
        <w:pStyle w:val="2"/>
        <w:spacing w:line="256" w:lineRule="auto"/>
        <w:rPr>
          <w:rFonts w:hint="default" w:ascii="Times New Roman" w:hAnsi="Times New Roman" w:eastAsia="仿宋_GB2312" w:cs="Times New Roman"/>
        </w:rPr>
      </w:pPr>
    </w:p>
    <w:p w14:paraId="6D180E10">
      <w:pPr>
        <w:spacing w:before="101" w:line="224" w:lineRule="auto"/>
        <w:ind w:left="505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>七、政府性基金预算财政拨款收入支出决算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情况说明</w:t>
      </w:r>
    </w:p>
    <w:p w14:paraId="7EA54E3F">
      <w:pPr>
        <w:spacing w:before="246" w:line="366" w:lineRule="auto"/>
        <w:ind w:left="38" w:firstLine="474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33"/>
          <w:sz w:val="31"/>
          <w:szCs w:val="31"/>
        </w:rPr>
        <w:t>2023 年度政府性基金预算财政拨款年初结转和结余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 万元；本年收入 万元，比上年增加（减少）万元</w:t>
      </w:r>
      <w:r>
        <w:rPr>
          <w:rFonts w:hint="default" w:ascii="Times New Roman" w:hAnsi="Times New Roman" w:eastAsia="仿宋_GB2312" w:cs="Times New Roman"/>
          <w:spacing w:val="-1"/>
          <w:sz w:val="31"/>
          <w:szCs w:val="31"/>
        </w:rPr>
        <w:t>，增长（</w:t>
      </w:r>
      <w:r>
        <w:rPr>
          <w:rFonts w:hint="default" w:ascii="Times New Roman" w:hAnsi="Times New Roman" w:eastAsia="仿宋_GB2312" w:cs="Times New Roman"/>
          <w:spacing w:val="-82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1"/>
          <w:sz w:val="31"/>
          <w:szCs w:val="31"/>
        </w:rPr>
        <w:t>下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 </w:t>
      </w:r>
      <w:r>
        <w:rPr>
          <w:rFonts w:hint="default" w:ascii="Times New Roman" w:hAnsi="Times New Roman" w:eastAsia="仿宋_GB2312" w:cs="Times New Roman"/>
          <w:spacing w:val="3"/>
          <w:sz w:val="31"/>
          <w:szCs w:val="31"/>
        </w:rPr>
        <w:t>降） %，主要是</w:t>
      </w:r>
      <w:r>
        <w:rPr>
          <w:rFonts w:hint="default" w:ascii="Times New Roman" w:hAnsi="Times New Roman" w:eastAsia="仿宋_GB2312" w:cs="Times New Roman"/>
          <w:spacing w:val="-94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3"/>
          <w:sz w:val="31"/>
          <w:szCs w:val="31"/>
        </w:rPr>
        <w:t>……；本年支出 万元，</w:t>
      </w:r>
      <w:r>
        <w:rPr>
          <w:rFonts w:hint="default" w:ascii="Times New Roman" w:hAnsi="Times New Roman" w:eastAsia="仿宋_GB2312" w:cs="Times New Roman"/>
          <w:spacing w:val="-76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3"/>
          <w:sz w:val="31"/>
          <w:szCs w:val="31"/>
        </w:rPr>
        <w:t>比上年增加（减少）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万元，增长（</w:t>
      </w:r>
      <w:r>
        <w:rPr>
          <w:rFonts w:hint="default" w:ascii="Times New Roman" w:hAnsi="Times New Roman" w:eastAsia="仿宋_GB2312" w:cs="Times New Roman"/>
          <w:spacing w:val="-72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下降）</w:t>
      </w:r>
      <w:r>
        <w:rPr>
          <w:rFonts w:hint="default" w:ascii="Times New Roman" w:hAnsi="Times New Roman" w:eastAsia="仿宋_GB2312" w:cs="Times New Roman"/>
          <w:spacing w:val="53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%，主要是</w:t>
      </w:r>
      <w:r>
        <w:rPr>
          <w:rFonts w:hint="default" w:ascii="Times New Roman" w:hAnsi="Times New Roman" w:eastAsia="仿宋_GB2312" w:cs="Times New Roman"/>
          <w:spacing w:val="-98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……</w:t>
      </w:r>
      <w:r>
        <w:rPr>
          <w:rFonts w:hint="default" w:ascii="Times New Roman" w:hAnsi="Times New Roman" w:eastAsia="仿宋_GB2312" w:cs="Times New Roman"/>
          <w:spacing w:val="-118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；年末结转和结余</w:t>
      </w:r>
      <w:r>
        <w:rPr>
          <w:rFonts w:hint="default" w:ascii="Times New Roman" w:hAnsi="Times New Roman" w:eastAsia="仿宋_GB2312" w:cs="Times New Roman"/>
          <w:spacing w:val="48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万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 </w:t>
      </w:r>
      <w:r>
        <w:rPr>
          <w:rFonts w:hint="default" w:ascii="Times New Roman" w:hAnsi="Times New Roman" w:eastAsia="仿宋_GB2312" w:cs="Times New Roman"/>
          <w:spacing w:val="1"/>
          <w:sz w:val="31"/>
          <w:szCs w:val="31"/>
        </w:rPr>
        <w:t>元。支出具体情况如下：</w:t>
      </w:r>
    </w:p>
    <w:p w14:paraId="52005B0F">
      <w:pPr>
        <w:spacing w:before="50" w:line="322" w:lineRule="auto"/>
        <w:ind w:left="34" w:right="158" w:firstLine="656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 xml:space="preserve">1.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>（类）</w:t>
      </w:r>
      <w:r>
        <w:rPr>
          <w:rFonts w:hint="default" w:ascii="Times New Roman" w:hAnsi="Times New Roman" w:eastAsia="仿宋_GB2312" w:cs="Times New Roman"/>
          <w:spacing w:val="-77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>（款）</w:t>
      </w:r>
      <w:r>
        <w:rPr>
          <w:rFonts w:hint="default" w:ascii="Times New Roman" w:hAnsi="Times New Roman" w:eastAsia="仿宋_GB2312" w:cs="Times New Roman"/>
          <w:spacing w:val="-89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>（项）。政府性基金财政拨款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支出为  万元，主要用于……。完成年初预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算的  %,决算数</w:t>
      </w:r>
      <w:r>
        <w:rPr>
          <w:rFonts w:hint="default" w:ascii="Times New Roman" w:hAnsi="Times New Roman" w:eastAsia="仿宋_GB2312" w:cs="Times New Roman"/>
          <w:spacing w:val="1"/>
          <w:sz w:val="31"/>
          <w:szCs w:val="31"/>
        </w:rPr>
        <w:t>大（小）于预算数的主要原因是</w:t>
      </w:r>
      <w:r>
        <w:rPr>
          <w:rFonts w:hint="default" w:ascii="Times New Roman" w:hAnsi="Times New Roman" w:eastAsia="仿宋_GB2312" w:cs="Times New Roman"/>
          <w:spacing w:val="-90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1"/>
          <w:sz w:val="31"/>
          <w:szCs w:val="31"/>
        </w:rPr>
        <w:t>…</w:t>
      </w:r>
      <w:r>
        <w:rPr>
          <w:rFonts w:hint="default" w:ascii="Times New Roman" w:hAnsi="Times New Roman" w:eastAsia="仿宋_GB2312" w:cs="Times New Roman"/>
          <w:spacing w:val="-100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1"/>
          <w:sz w:val="31"/>
          <w:szCs w:val="31"/>
        </w:rPr>
        <w:t>…。</w:t>
      </w:r>
    </w:p>
    <w:p w14:paraId="12D4F1E9">
      <w:pPr>
        <w:spacing w:before="250" w:line="322" w:lineRule="auto"/>
        <w:ind w:left="34" w:right="159" w:firstLine="636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10"/>
          <w:sz w:val="31"/>
          <w:szCs w:val="31"/>
        </w:rPr>
        <w:t xml:space="preserve">2.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10"/>
          <w:sz w:val="31"/>
          <w:szCs w:val="31"/>
        </w:rPr>
        <w:t>（类）</w:t>
      </w:r>
      <w:r>
        <w:rPr>
          <w:rFonts w:hint="default" w:ascii="Times New Roman" w:hAnsi="Times New Roman" w:eastAsia="仿宋_GB2312" w:cs="Times New Roman"/>
          <w:spacing w:val="-80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10"/>
          <w:sz w:val="31"/>
          <w:szCs w:val="31"/>
        </w:rPr>
        <w:t>（款）</w:t>
      </w:r>
      <w:r>
        <w:rPr>
          <w:rFonts w:hint="default" w:ascii="Times New Roman" w:hAnsi="Times New Roman" w:eastAsia="仿宋_GB2312" w:cs="Times New Roman"/>
          <w:spacing w:val="-89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10"/>
          <w:sz w:val="31"/>
          <w:szCs w:val="31"/>
        </w:rPr>
        <w:t>（项）。政府性基金财政拨款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支出为  万元，主要用于……。完成年初预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算的  %,决算数</w:t>
      </w:r>
      <w:r>
        <w:rPr>
          <w:rFonts w:hint="default" w:ascii="Times New Roman" w:hAnsi="Times New Roman" w:eastAsia="仿宋_GB2312" w:cs="Times New Roman"/>
          <w:spacing w:val="1"/>
          <w:sz w:val="31"/>
          <w:szCs w:val="31"/>
        </w:rPr>
        <w:t>大（小）于预算数的主要原因是</w:t>
      </w:r>
      <w:r>
        <w:rPr>
          <w:rFonts w:hint="default" w:ascii="Times New Roman" w:hAnsi="Times New Roman" w:eastAsia="仿宋_GB2312" w:cs="Times New Roman"/>
          <w:spacing w:val="-90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1"/>
          <w:sz w:val="31"/>
          <w:szCs w:val="31"/>
        </w:rPr>
        <w:t>…</w:t>
      </w:r>
      <w:r>
        <w:rPr>
          <w:rFonts w:hint="default" w:ascii="Times New Roman" w:hAnsi="Times New Roman" w:eastAsia="仿宋_GB2312" w:cs="Times New Roman"/>
          <w:spacing w:val="-100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1"/>
          <w:sz w:val="31"/>
          <w:szCs w:val="31"/>
        </w:rPr>
        <w:t>…。</w:t>
      </w:r>
    </w:p>
    <w:p w14:paraId="7CE5C5F4">
      <w:pPr>
        <w:spacing w:before="250" w:line="322" w:lineRule="auto"/>
        <w:ind w:left="34" w:right="158" w:firstLine="639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10"/>
          <w:sz w:val="31"/>
          <w:szCs w:val="31"/>
        </w:rPr>
        <w:t xml:space="preserve">3.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10"/>
          <w:sz w:val="31"/>
          <w:szCs w:val="31"/>
        </w:rPr>
        <w:t>（类）</w:t>
      </w:r>
      <w:r>
        <w:rPr>
          <w:rFonts w:hint="default" w:ascii="Times New Roman" w:hAnsi="Times New Roman" w:eastAsia="仿宋_GB2312" w:cs="Times New Roman"/>
          <w:spacing w:val="-83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10"/>
          <w:sz w:val="31"/>
          <w:szCs w:val="31"/>
        </w:rPr>
        <w:t>（款）</w:t>
      </w:r>
      <w:r>
        <w:rPr>
          <w:rFonts w:hint="default" w:ascii="Times New Roman" w:hAnsi="Times New Roman" w:eastAsia="仿宋_GB2312" w:cs="Times New Roman"/>
          <w:spacing w:val="-89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10"/>
          <w:sz w:val="31"/>
          <w:szCs w:val="31"/>
        </w:rPr>
        <w:t>（项）。政府性基金财政拨款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支出为  万元，主要用于……。完成年初预算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的  %,决算数</w:t>
      </w:r>
      <w:r>
        <w:rPr>
          <w:rFonts w:hint="default" w:ascii="Times New Roman" w:hAnsi="Times New Roman" w:eastAsia="仿宋_GB2312" w:cs="Times New Roman"/>
          <w:spacing w:val="1"/>
          <w:sz w:val="31"/>
          <w:szCs w:val="31"/>
        </w:rPr>
        <w:t>大（小）于预算数的主要原因是</w:t>
      </w:r>
      <w:r>
        <w:rPr>
          <w:rFonts w:hint="default" w:ascii="Times New Roman" w:hAnsi="Times New Roman" w:eastAsia="仿宋_GB2312" w:cs="Times New Roman"/>
          <w:spacing w:val="-90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1"/>
          <w:sz w:val="31"/>
          <w:szCs w:val="31"/>
        </w:rPr>
        <w:t>…</w:t>
      </w:r>
      <w:r>
        <w:rPr>
          <w:rFonts w:hint="default" w:ascii="Times New Roman" w:hAnsi="Times New Roman" w:eastAsia="仿宋_GB2312" w:cs="Times New Roman"/>
          <w:spacing w:val="-100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1"/>
          <w:sz w:val="31"/>
          <w:szCs w:val="31"/>
        </w:rPr>
        <w:t>…。</w:t>
      </w:r>
    </w:p>
    <w:p w14:paraId="0F1B8D84">
      <w:pPr>
        <w:spacing w:before="304" w:line="185" w:lineRule="auto"/>
        <w:ind w:left="666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-5"/>
          <w:sz w:val="31"/>
          <w:szCs w:val="31"/>
        </w:rPr>
        <w:t>4.</w:t>
      </w:r>
      <w:r>
        <w:rPr>
          <w:rFonts w:hint="default" w:ascii="Times New Roman" w:hAnsi="Times New Roman" w:eastAsia="仿宋_GB2312" w:cs="Times New Roman"/>
          <w:spacing w:val="-101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5"/>
          <w:sz w:val="31"/>
          <w:szCs w:val="31"/>
        </w:rPr>
        <w:t>……</w:t>
      </w:r>
    </w:p>
    <w:p w14:paraId="1BA4AE4F">
      <w:pPr>
        <w:spacing w:before="158" w:line="224" w:lineRule="auto"/>
        <w:ind w:left="746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八、国有资本经营预算财政拨款支出决算情况说明</w:t>
      </w:r>
    </w:p>
    <w:p w14:paraId="1548247E">
      <w:pPr>
        <w:spacing w:before="248" w:line="220" w:lineRule="auto"/>
        <w:ind w:left="671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2023 年度国有资本经营预算年初结转和结余   万元；</w:t>
      </w:r>
    </w:p>
    <w:p w14:paraId="6713AF0F">
      <w:pPr>
        <w:spacing w:before="255" w:line="364" w:lineRule="auto"/>
        <w:ind w:left="23" w:firstLine="3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-5"/>
          <w:sz w:val="31"/>
          <w:szCs w:val="31"/>
        </w:rPr>
        <w:t xml:space="preserve">本年收入 万元，比上年增加（减少）万元，增长（下降） </w:t>
      </w:r>
      <w:r>
        <w:rPr>
          <w:rFonts w:hint="default" w:ascii="Times New Roman" w:hAnsi="Times New Roman" w:eastAsia="仿宋_GB2312" w:cs="Times New Roman"/>
          <w:spacing w:val="-6"/>
          <w:sz w:val="31"/>
          <w:szCs w:val="31"/>
        </w:rPr>
        <w:t>%，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1"/>
          <w:sz w:val="31"/>
          <w:szCs w:val="31"/>
        </w:rPr>
        <w:t>主要是</w:t>
      </w:r>
      <w:r>
        <w:rPr>
          <w:rFonts w:hint="default" w:ascii="Times New Roman" w:hAnsi="Times New Roman" w:eastAsia="仿宋_GB2312" w:cs="Times New Roman"/>
          <w:spacing w:val="-96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1"/>
          <w:sz w:val="31"/>
          <w:szCs w:val="31"/>
        </w:rPr>
        <w:t>……</w:t>
      </w:r>
      <w:r>
        <w:rPr>
          <w:rFonts w:hint="default" w:ascii="Times New Roman" w:hAnsi="Times New Roman" w:eastAsia="仿宋_GB2312" w:cs="Times New Roman"/>
          <w:spacing w:val="-118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1"/>
          <w:sz w:val="31"/>
          <w:szCs w:val="31"/>
        </w:rPr>
        <w:t>；本年支出</w:t>
      </w:r>
      <w:r>
        <w:rPr>
          <w:rFonts w:hint="default" w:ascii="Times New Roman" w:hAnsi="Times New Roman" w:eastAsia="仿宋_GB2312" w:cs="Times New Roman"/>
          <w:spacing w:val="49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1"/>
          <w:sz w:val="31"/>
          <w:szCs w:val="31"/>
        </w:rPr>
        <w:t>万元，</w:t>
      </w:r>
      <w:r>
        <w:rPr>
          <w:rFonts w:hint="default" w:ascii="Times New Roman" w:hAnsi="Times New Roman" w:eastAsia="仿宋_GB2312" w:cs="Times New Roman"/>
          <w:spacing w:val="-74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1"/>
          <w:sz w:val="31"/>
          <w:szCs w:val="31"/>
        </w:rPr>
        <w:t>比上年增加（减少）</w:t>
      </w:r>
      <w:r>
        <w:rPr>
          <w:rFonts w:hint="default" w:ascii="Times New Roman" w:hAnsi="Times New Roman" w:eastAsia="仿宋_GB2312" w:cs="Times New Roman"/>
          <w:spacing w:val="-90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1"/>
          <w:sz w:val="31"/>
          <w:szCs w:val="31"/>
        </w:rPr>
        <w:t>万元，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 </w:t>
      </w:r>
      <w:r>
        <w:rPr>
          <w:rFonts w:hint="default" w:ascii="Times New Roman" w:hAnsi="Times New Roman" w:eastAsia="仿宋_GB2312" w:cs="Times New Roman"/>
          <w:spacing w:val="5"/>
          <w:sz w:val="31"/>
          <w:szCs w:val="31"/>
        </w:rPr>
        <w:t>增长（</w:t>
      </w:r>
      <w:r>
        <w:rPr>
          <w:rFonts w:hint="default" w:ascii="Times New Roman" w:hAnsi="Times New Roman" w:eastAsia="仿宋_GB2312" w:cs="Times New Roman"/>
          <w:spacing w:val="-78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5"/>
          <w:sz w:val="31"/>
          <w:szCs w:val="31"/>
        </w:rPr>
        <w:t>下降）</w:t>
      </w:r>
      <w:r>
        <w:rPr>
          <w:rFonts w:hint="default" w:ascii="Times New Roman" w:hAnsi="Times New Roman" w:eastAsia="仿宋_GB2312" w:cs="Times New Roman"/>
          <w:spacing w:val="52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5"/>
          <w:sz w:val="31"/>
          <w:szCs w:val="31"/>
        </w:rPr>
        <w:t>%，主要是</w:t>
      </w:r>
      <w:r>
        <w:rPr>
          <w:rFonts w:hint="default" w:ascii="Times New Roman" w:hAnsi="Times New Roman" w:eastAsia="仿宋_GB2312" w:cs="Times New Roman"/>
          <w:spacing w:val="-98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5"/>
          <w:sz w:val="31"/>
          <w:szCs w:val="31"/>
        </w:rPr>
        <w:t>……</w:t>
      </w:r>
      <w:r>
        <w:rPr>
          <w:rFonts w:hint="default" w:ascii="Times New Roman" w:hAnsi="Times New Roman" w:eastAsia="仿宋_GB2312" w:cs="Times New Roman"/>
          <w:spacing w:val="-118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5"/>
          <w:sz w:val="31"/>
          <w:szCs w:val="31"/>
        </w:rPr>
        <w:t>；年末结转和结余</w:t>
      </w:r>
      <w:r>
        <w:rPr>
          <w:rFonts w:hint="default" w:ascii="Times New Roman" w:hAnsi="Times New Roman" w:eastAsia="仿宋_GB2312" w:cs="Times New Roman"/>
          <w:spacing w:val="48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万元。支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1"/>
          <w:sz w:val="31"/>
          <w:szCs w:val="31"/>
        </w:rPr>
        <w:t>出具体情况如下：</w:t>
      </w:r>
    </w:p>
    <w:p w14:paraId="57A3F825">
      <w:pPr>
        <w:spacing w:before="51" w:line="322" w:lineRule="auto"/>
        <w:ind w:left="33" w:right="84" w:firstLine="657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 xml:space="preserve">1.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>（类）</w:t>
      </w:r>
      <w:r>
        <w:rPr>
          <w:rFonts w:hint="default" w:ascii="Times New Roman" w:hAnsi="Times New Roman" w:eastAsia="仿宋_GB2312" w:cs="Times New Roman"/>
          <w:spacing w:val="-78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>（款）</w:t>
      </w:r>
      <w:r>
        <w:rPr>
          <w:rFonts w:hint="default" w:ascii="Times New Roman" w:hAnsi="Times New Roman" w:eastAsia="仿宋_GB2312" w:cs="Times New Roman"/>
          <w:spacing w:val="-89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>（项）。国有资本经营预算财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政拨款支出为  万元，主要用于……。完成年初预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算的  %,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3"/>
          <w:sz w:val="31"/>
          <w:szCs w:val="31"/>
        </w:rPr>
        <w:t>决算数大（小）于预算数的主要原因是</w:t>
      </w:r>
      <w:r>
        <w:rPr>
          <w:rFonts w:hint="default" w:ascii="Times New Roman" w:hAnsi="Times New Roman" w:eastAsia="仿宋_GB2312" w:cs="Times New Roman"/>
          <w:spacing w:val="-102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3"/>
          <w:sz w:val="31"/>
          <w:szCs w:val="31"/>
        </w:rPr>
        <w:t>…</w:t>
      </w:r>
      <w:r>
        <w:rPr>
          <w:rFonts w:hint="default" w:ascii="Times New Roman" w:hAnsi="Times New Roman" w:eastAsia="仿宋_GB2312" w:cs="Times New Roman"/>
          <w:spacing w:val="-100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3"/>
          <w:sz w:val="31"/>
          <w:szCs w:val="31"/>
        </w:rPr>
        <w:t>…。</w:t>
      </w:r>
    </w:p>
    <w:p w14:paraId="0047E01E">
      <w:pPr>
        <w:spacing w:before="249" w:line="322" w:lineRule="auto"/>
        <w:ind w:left="33" w:right="84" w:firstLine="638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10"/>
          <w:sz w:val="31"/>
          <w:szCs w:val="31"/>
        </w:rPr>
        <w:t xml:space="preserve">2.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10"/>
          <w:sz w:val="31"/>
          <w:szCs w:val="31"/>
        </w:rPr>
        <w:t>（类）</w:t>
      </w:r>
      <w:r>
        <w:rPr>
          <w:rFonts w:hint="default" w:ascii="Times New Roman" w:hAnsi="Times New Roman" w:eastAsia="仿宋_GB2312" w:cs="Times New Roman"/>
          <w:spacing w:val="-80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10"/>
          <w:sz w:val="31"/>
          <w:szCs w:val="31"/>
        </w:rPr>
        <w:t>（款）</w:t>
      </w:r>
      <w:r>
        <w:rPr>
          <w:rFonts w:hint="default" w:ascii="Times New Roman" w:hAnsi="Times New Roman" w:eastAsia="仿宋_GB2312" w:cs="Times New Roman"/>
          <w:spacing w:val="-89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10"/>
          <w:sz w:val="31"/>
          <w:szCs w:val="31"/>
        </w:rPr>
        <w:t>（项）。国有资本经营预算财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政拨款支出为  万元，主要用于……。完成年初预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算的  %,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3"/>
          <w:sz w:val="31"/>
          <w:szCs w:val="31"/>
        </w:rPr>
        <w:t>决算数大（小）于预算数的主要原因是</w:t>
      </w:r>
      <w:r>
        <w:rPr>
          <w:rFonts w:hint="default" w:ascii="Times New Roman" w:hAnsi="Times New Roman" w:eastAsia="仿宋_GB2312" w:cs="Times New Roman"/>
          <w:spacing w:val="-102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3"/>
          <w:sz w:val="31"/>
          <w:szCs w:val="31"/>
        </w:rPr>
        <w:t>…</w:t>
      </w:r>
      <w:r>
        <w:rPr>
          <w:rFonts w:hint="default" w:ascii="Times New Roman" w:hAnsi="Times New Roman" w:eastAsia="仿宋_GB2312" w:cs="Times New Roman"/>
          <w:spacing w:val="-100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3"/>
          <w:sz w:val="31"/>
          <w:szCs w:val="31"/>
        </w:rPr>
        <w:t>…。</w:t>
      </w:r>
    </w:p>
    <w:p w14:paraId="6081B57B">
      <w:pPr>
        <w:spacing w:before="251" w:line="322" w:lineRule="auto"/>
        <w:ind w:left="33" w:right="84" w:firstLine="640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10"/>
          <w:sz w:val="31"/>
          <w:szCs w:val="31"/>
        </w:rPr>
        <w:t xml:space="preserve">3.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10"/>
          <w:sz w:val="31"/>
          <w:szCs w:val="31"/>
        </w:rPr>
        <w:t>（类）</w:t>
      </w:r>
      <w:r>
        <w:rPr>
          <w:rFonts w:hint="default" w:ascii="Times New Roman" w:hAnsi="Times New Roman" w:eastAsia="仿宋_GB2312" w:cs="Times New Roman"/>
          <w:spacing w:val="-83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10"/>
          <w:sz w:val="31"/>
          <w:szCs w:val="31"/>
        </w:rPr>
        <w:t>（款）</w:t>
      </w:r>
      <w:r>
        <w:rPr>
          <w:rFonts w:hint="default" w:ascii="Times New Roman" w:hAnsi="Times New Roman" w:eastAsia="仿宋_GB2312" w:cs="Times New Roman"/>
          <w:spacing w:val="-89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10"/>
          <w:sz w:val="31"/>
          <w:szCs w:val="31"/>
        </w:rPr>
        <w:t>（项）。国有资本经营预算财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政拨款支出为  万元，主要用于……。完成年初预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算的  %,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3"/>
          <w:sz w:val="31"/>
          <w:szCs w:val="31"/>
        </w:rPr>
        <w:t>决算数大（小）于预算数的主要原因是</w:t>
      </w:r>
      <w:r>
        <w:rPr>
          <w:rFonts w:hint="default" w:ascii="Times New Roman" w:hAnsi="Times New Roman" w:eastAsia="仿宋_GB2312" w:cs="Times New Roman"/>
          <w:spacing w:val="-102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3"/>
          <w:sz w:val="31"/>
          <w:szCs w:val="31"/>
        </w:rPr>
        <w:t>…</w:t>
      </w:r>
      <w:r>
        <w:rPr>
          <w:rFonts w:hint="default" w:ascii="Times New Roman" w:hAnsi="Times New Roman" w:eastAsia="仿宋_GB2312" w:cs="Times New Roman"/>
          <w:spacing w:val="-100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3"/>
          <w:sz w:val="31"/>
          <w:szCs w:val="31"/>
        </w:rPr>
        <w:t>…。</w:t>
      </w:r>
    </w:p>
    <w:p w14:paraId="4E524156">
      <w:pPr>
        <w:spacing w:before="303" w:line="185" w:lineRule="auto"/>
        <w:ind w:left="666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-5"/>
          <w:sz w:val="31"/>
          <w:szCs w:val="31"/>
        </w:rPr>
        <w:t>4.</w:t>
      </w:r>
      <w:r>
        <w:rPr>
          <w:rFonts w:hint="default" w:ascii="Times New Roman" w:hAnsi="Times New Roman" w:eastAsia="仿宋_GB2312" w:cs="Times New Roman"/>
          <w:spacing w:val="-101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5"/>
          <w:sz w:val="31"/>
          <w:szCs w:val="31"/>
        </w:rPr>
        <w:t>……</w:t>
      </w:r>
    </w:p>
    <w:p w14:paraId="619F8EAD">
      <w:pPr>
        <w:spacing w:before="101" w:line="224" w:lineRule="auto"/>
        <w:ind w:left="675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九、财政拨款“三公”经费支出决算情况说明</w:t>
      </w:r>
    </w:p>
    <w:p w14:paraId="37ADCB81">
      <w:pPr>
        <w:spacing w:before="248" w:line="224" w:lineRule="auto"/>
        <w:ind w:left="675"/>
        <w:rPr>
          <w:rFonts w:hint="default" w:ascii="Times New Roman" w:hAnsi="Times New Roman" w:eastAsia="仿宋_GB2312" w:cs="Times New Roman"/>
          <w:sz w:val="31"/>
          <w:szCs w:val="31"/>
        </w:rPr>
      </w:pPr>
    </w:p>
    <w:p w14:paraId="3685E036">
      <w:pPr>
        <w:spacing w:before="249" w:line="223" w:lineRule="auto"/>
        <w:ind w:left="659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5"/>
          <w:sz w:val="31"/>
          <w:szCs w:val="31"/>
        </w:rPr>
        <w:t>（</w:t>
      </w:r>
      <w:r>
        <w:rPr>
          <w:rFonts w:hint="default" w:ascii="Times New Roman" w:hAnsi="Times New Roman" w:eastAsia="仿宋_GB2312" w:cs="Times New Roman"/>
          <w:spacing w:val="-60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5"/>
          <w:sz w:val="31"/>
          <w:szCs w:val="31"/>
        </w:rPr>
        <w:t>一）“三公”经费财政拨款支出决算总体情况说明</w:t>
      </w:r>
    </w:p>
    <w:p w14:paraId="46C86ABC">
      <w:pPr>
        <w:spacing w:before="249" w:line="223" w:lineRule="auto"/>
        <w:ind w:left="671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2023</w:t>
      </w:r>
      <w:r>
        <w:rPr>
          <w:rFonts w:hint="default" w:ascii="Times New Roman" w:hAnsi="Times New Roman" w:eastAsia="仿宋_GB2312" w:cs="Times New Roman"/>
          <w:spacing w:val="-44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年度“三公”经费财政拨款支出预算为  万元，支</w:t>
      </w:r>
    </w:p>
    <w:p w14:paraId="4B11BDD5">
      <w:pPr>
        <w:spacing w:line="223" w:lineRule="auto"/>
        <w:rPr>
          <w:rFonts w:hint="default" w:ascii="Times New Roman" w:hAnsi="Times New Roman" w:eastAsia="仿宋_GB2312" w:cs="Times New Roman"/>
          <w:sz w:val="31"/>
          <w:szCs w:val="31"/>
        </w:rPr>
        <w:sectPr>
          <w:footerReference r:id="rId10" w:type="default"/>
          <w:pgSz w:w="11907" w:h="16839"/>
          <w:pgMar w:top="1431" w:right="1714" w:bottom="1153" w:left="1785" w:header="0" w:footer="965" w:gutter="0"/>
          <w:cols w:space="720" w:num="1"/>
        </w:sectPr>
      </w:pPr>
    </w:p>
    <w:p w14:paraId="3FAD1108">
      <w:pPr>
        <w:spacing w:before="156" w:line="362" w:lineRule="auto"/>
        <w:ind w:left="41" w:firstLine="26"/>
        <w:jc w:val="both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-1"/>
          <w:sz w:val="31"/>
          <w:szCs w:val="31"/>
        </w:rPr>
        <w:t>出决算为  万元，完成预算的  %；较</w:t>
      </w:r>
      <w:r>
        <w:rPr>
          <w:rFonts w:hint="default" w:ascii="Times New Roman" w:hAnsi="Times New Roman" w:eastAsia="仿宋_GB2312" w:cs="Times New Roman"/>
          <w:spacing w:val="-26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1"/>
          <w:sz w:val="31"/>
          <w:szCs w:val="31"/>
        </w:rPr>
        <w:t>2022</w:t>
      </w:r>
      <w:r>
        <w:rPr>
          <w:rFonts w:hint="default" w:ascii="Times New Roman" w:hAnsi="Times New Roman" w:eastAsia="仿宋_GB2312" w:cs="Times New Roman"/>
          <w:spacing w:val="-60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1"/>
          <w:sz w:val="31"/>
          <w:szCs w:val="31"/>
        </w:rPr>
        <w:t>年度增加（减少）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万元，增长（下降） %，主要原因是</w:t>
      </w:r>
      <w:r>
        <w:rPr>
          <w:rFonts w:hint="default" w:ascii="Times New Roman" w:hAnsi="Times New Roman" w:eastAsia="仿宋_GB2312" w:cs="Times New Roman"/>
          <w:spacing w:val="-91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…</w:t>
      </w:r>
      <w:r>
        <w:rPr>
          <w:rFonts w:hint="default" w:ascii="Times New Roman" w:hAnsi="Times New Roman" w:eastAsia="仿宋_GB2312" w:cs="Times New Roman"/>
          <w:spacing w:val="-102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…。决算数大（小）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 </w:t>
      </w:r>
      <w:r>
        <w:rPr>
          <w:rFonts w:hint="default" w:ascii="Times New Roman" w:hAnsi="Times New Roman" w:eastAsia="仿宋_GB2312" w:cs="Times New Roman"/>
          <w:spacing w:val="-3"/>
          <w:sz w:val="31"/>
          <w:szCs w:val="31"/>
        </w:rPr>
        <w:t>于预算数的主要原因</w:t>
      </w:r>
      <w:r>
        <w:rPr>
          <w:rFonts w:hint="default" w:ascii="Times New Roman" w:hAnsi="Times New Roman" w:eastAsia="仿宋_GB2312" w:cs="Times New Roman"/>
          <w:spacing w:val="-92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3"/>
          <w:sz w:val="31"/>
          <w:szCs w:val="31"/>
        </w:rPr>
        <w:t>…</w:t>
      </w:r>
      <w:r>
        <w:rPr>
          <w:rFonts w:hint="default" w:ascii="Times New Roman" w:hAnsi="Times New Roman" w:eastAsia="仿宋_GB2312" w:cs="Times New Roman"/>
          <w:spacing w:val="-103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3"/>
          <w:sz w:val="31"/>
          <w:szCs w:val="31"/>
        </w:rPr>
        <w:t>…。</w:t>
      </w:r>
    </w:p>
    <w:p w14:paraId="5D605321">
      <w:pPr>
        <w:spacing w:before="50" w:line="223" w:lineRule="auto"/>
        <w:ind w:left="659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>（二）“三公”经费财政拨款支出决算具体情况说明</w:t>
      </w:r>
    </w:p>
    <w:p w14:paraId="7C03B828">
      <w:pPr>
        <w:spacing w:before="248" w:line="366" w:lineRule="auto"/>
        <w:ind w:left="23" w:right="74" w:firstLine="668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3"/>
          <w:sz w:val="31"/>
          <w:szCs w:val="31"/>
        </w:rPr>
        <w:t>1.因公出国（境）费预算为  万元,支出决算为</w:t>
      </w:r>
      <w:r>
        <w:rPr>
          <w:rFonts w:hint="default" w:ascii="Times New Roman" w:hAnsi="Times New Roman" w:eastAsia="仿宋_GB2312" w:cs="Times New Roman"/>
          <w:spacing w:val="20"/>
          <w:sz w:val="31"/>
          <w:szCs w:val="31"/>
        </w:rPr>
        <w:t xml:space="preserve">  </w:t>
      </w:r>
      <w:r>
        <w:rPr>
          <w:rFonts w:hint="default" w:ascii="Times New Roman" w:hAnsi="Times New Roman" w:eastAsia="仿宋_GB2312" w:cs="Times New Roman"/>
          <w:spacing w:val="3"/>
          <w:sz w:val="31"/>
          <w:szCs w:val="31"/>
        </w:rPr>
        <w:t>万</w:t>
      </w:r>
      <w:r>
        <w:rPr>
          <w:rFonts w:hint="default" w:ascii="Times New Roman" w:hAnsi="Times New Roman" w:eastAsia="仿宋_GB2312" w:cs="Times New Roman"/>
          <w:spacing w:val="2"/>
          <w:sz w:val="31"/>
          <w:szCs w:val="31"/>
        </w:rPr>
        <w:t>元，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完成预算的   %；支出决算较</w:t>
      </w:r>
      <w:r>
        <w:rPr>
          <w:rFonts w:hint="default" w:ascii="Times New Roman" w:hAnsi="Times New Roman" w:eastAsia="仿宋_GB2312" w:cs="Times New Roman"/>
          <w:spacing w:val="-51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2022</w:t>
      </w:r>
      <w:r>
        <w:rPr>
          <w:rFonts w:hint="default" w:ascii="Times New Roman" w:hAnsi="Times New Roman" w:eastAsia="仿宋_GB2312" w:cs="Times New Roman"/>
          <w:spacing w:val="-58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年度增加（减少）</w:t>
      </w:r>
      <w:r>
        <w:rPr>
          <w:rFonts w:hint="default" w:ascii="Times New Roman" w:hAnsi="Times New Roman" w:eastAsia="仿宋_GB2312" w:cs="Times New Roman"/>
          <w:spacing w:val="-37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万元， 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增长（下降）</w:t>
      </w:r>
      <w:r>
        <w:rPr>
          <w:rFonts w:hint="default" w:ascii="Times New Roman" w:hAnsi="Times New Roman" w:eastAsia="仿宋_GB2312" w:cs="Times New Roman"/>
          <w:spacing w:val="79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%，主要原因……。决算数大（小）于预算数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2"/>
          <w:sz w:val="31"/>
          <w:szCs w:val="31"/>
        </w:rPr>
        <w:t>的主要原因</w:t>
      </w:r>
      <w:r>
        <w:rPr>
          <w:rFonts w:hint="default" w:ascii="Times New Roman" w:hAnsi="Times New Roman" w:eastAsia="仿宋_GB2312" w:cs="Times New Roman"/>
          <w:spacing w:val="-101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2"/>
          <w:sz w:val="31"/>
          <w:szCs w:val="31"/>
        </w:rPr>
        <w:t>……。全年共有因公出国（境）</w:t>
      </w:r>
      <w:r>
        <w:rPr>
          <w:rFonts w:hint="default" w:ascii="Times New Roman" w:hAnsi="Times New Roman" w:eastAsia="仿宋_GB2312" w:cs="Times New Roman"/>
          <w:spacing w:val="-87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2"/>
          <w:sz w:val="31"/>
          <w:szCs w:val="31"/>
        </w:rPr>
        <w:t>团组  个，</w:t>
      </w:r>
      <w:r>
        <w:rPr>
          <w:rFonts w:hint="default" w:ascii="Times New Roman" w:hAnsi="Times New Roman" w:eastAsia="仿宋_GB2312" w:cs="Times New Roman"/>
          <w:spacing w:val="-93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2"/>
          <w:sz w:val="31"/>
          <w:szCs w:val="31"/>
        </w:rPr>
        <w:t>因公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2"/>
          <w:sz w:val="31"/>
          <w:szCs w:val="31"/>
        </w:rPr>
        <w:t>出国（境）  人次。主要包括</w:t>
      </w:r>
      <w:r>
        <w:rPr>
          <w:rFonts w:hint="default" w:ascii="Times New Roman" w:hAnsi="Times New Roman" w:eastAsia="仿宋_GB2312" w:cs="Times New Roman"/>
          <w:spacing w:val="-103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2"/>
          <w:sz w:val="31"/>
          <w:szCs w:val="31"/>
        </w:rPr>
        <w:t>…</w:t>
      </w:r>
      <w:r>
        <w:rPr>
          <w:rFonts w:hint="default" w:ascii="Times New Roman" w:hAnsi="Times New Roman" w:eastAsia="仿宋_GB2312" w:cs="Times New Roman"/>
          <w:spacing w:val="-103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2"/>
          <w:sz w:val="31"/>
          <w:szCs w:val="31"/>
        </w:rPr>
        <w:t>…。</w:t>
      </w:r>
    </w:p>
    <w:p w14:paraId="78D9C6B0">
      <w:pPr>
        <w:spacing w:before="57" w:line="364" w:lineRule="auto"/>
        <w:ind w:left="23" w:right="156" w:firstLine="648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21"/>
          <w:sz w:val="31"/>
          <w:szCs w:val="31"/>
        </w:rPr>
        <w:t>2.公务用车购置及运行费预算为  万元</w:t>
      </w:r>
      <w:r>
        <w:rPr>
          <w:rFonts w:hint="default" w:ascii="Times New Roman" w:hAnsi="Times New Roman" w:eastAsia="仿宋_GB2312" w:cs="Times New Roman"/>
          <w:spacing w:val="20"/>
          <w:sz w:val="31"/>
          <w:szCs w:val="31"/>
        </w:rPr>
        <w:t>，支出决算为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万元，完成预算的   %；较</w:t>
      </w:r>
      <w:r>
        <w:rPr>
          <w:rFonts w:hint="default" w:ascii="Times New Roman" w:hAnsi="Times New Roman" w:eastAsia="仿宋_GB2312" w:cs="Times New Roman"/>
          <w:spacing w:val="-57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2022</w:t>
      </w:r>
      <w:r>
        <w:rPr>
          <w:rFonts w:hint="default" w:ascii="Times New Roman" w:hAnsi="Times New Roman" w:eastAsia="仿宋_GB2312" w:cs="Times New Roman"/>
          <w:spacing w:val="-61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年度增加（减少）</w:t>
      </w:r>
      <w:r>
        <w:rPr>
          <w:rFonts w:hint="default" w:ascii="Times New Roman" w:hAnsi="Times New Roman" w:eastAsia="仿宋_GB2312" w:cs="Times New Roman"/>
          <w:spacing w:val="75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万元，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增长（下降）</w:t>
      </w:r>
      <w:r>
        <w:rPr>
          <w:rFonts w:hint="default" w:ascii="Times New Roman" w:hAnsi="Times New Roman" w:eastAsia="仿宋_GB2312" w:cs="Times New Roman"/>
          <w:spacing w:val="79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%，主要原因……。决算数大（小）于预算数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9"/>
          <w:sz w:val="31"/>
          <w:szCs w:val="31"/>
        </w:rPr>
        <w:t>的主要原因</w:t>
      </w:r>
      <w:r>
        <w:rPr>
          <w:rFonts w:hint="default" w:ascii="Times New Roman" w:hAnsi="Times New Roman" w:eastAsia="仿宋_GB2312" w:cs="Times New Roman"/>
          <w:spacing w:val="-100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9"/>
          <w:sz w:val="31"/>
          <w:szCs w:val="31"/>
        </w:rPr>
        <w:t>…</w:t>
      </w:r>
      <w:r>
        <w:rPr>
          <w:rFonts w:hint="default" w:ascii="Times New Roman" w:hAnsi="Times New Roman" w:eastAsia="仿宋_GB2312" w:cs="Times New Roman"/>
          <w:spacing w:val="-102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9"/>
          <w:sz w:val="31"/>
          <w:szCs w:val="31"/>
        </w:rPr>
        <w:t>…。其中：</w:t>
      </w:r>
    </w:p>
    <w:p w14:paraId="41E1CCC2">
      <w:pPr>
        <w:spacing w:before="49" w:line="221" w:lineRule="auto"/>
        <w:ind w:left="666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公务用车购置费支出   万元。主要是</w:t>
      </w:r>
      <w:r>
        <w:rPr>
          <w:rFonts w:hint="default" w:ascii="Times New Roman" w:hAnsi="Times New Roman" w:eastAsia="仿宋_GB2312" w:cs="Times New Roman"/>
          <w:spacing w:val="-103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…</w:t>
      </w:r>
      <w:r>
        <w:rPr>
          <w:rFonts w:hint="default" w:ascii="Times New Roman" w:hAnsi="Times New Roman" w:eastAsia="仿宋_GB2312" w:cs="Times New Roman"/>
          <w:spacing w:val="-103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…；截至 2023</w:t>
      </w:r>
    </w:p>
    <w:p w14:paraId="4F13BD0A">
      <w:pPr>
        <w:spacing w:before="253" w:line="221" w:lineRule="auto"/>
        <w:ind w:left="30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2"/>
          <w:sz w:val="31"/>
          <w:szCs w:val="31"/>
        </w:rPr>
        <w:t>年 12 月 31 日，公务用车保有量为    辆,公务用车购置数</w:t>
      </w:r>
    </w:p>
    <w:p w14:paraId="2025E59C">
      <w:pPr>
        <w:spacing w:before="253" w:line="223" w:lineRule="auto"/>
        <w:ind w:left="36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-15"/>
          <w:sz w:val="31"/>
          <w:szCs w:val="31"/>
        </w:rPr>
        <w:t>为</w:t>
      </w:r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 xml:space="preserve">   </w:t>
      </w:r>
      <w:r>
        <w:rPr>
          <w:rFonts w:hint="default" w:ascii="Times New Roman" w:hAnsi="Times New Roman" w:eastAsia="仿宋_GB2312" w:cs="Times New Roman"/>
          <w:spacing w:val="-15"/>
          <w:sz w:val="31"/>
          <w:szCs w:val="31"/>
        </w:rPr>
        <w:t>辆。</w:t>
      </w:r>
    </w:p>
    <w:p w14:paraId="0C7EF10C">
      <w:pPr>
        <w:spacing w:before="54" w:line="221" w:lineRule="auto"/>
        <w:ind w:left="666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3"/>
          <w:sz w:val="31"/>
          <w:szCs w:val="31"/>
        </w:rPr>
        <w:t>公务用车运行维护费支出   万元，主要是</w:t>
      </w:r>
      <w:r>
        <w:rPr>
          <w:rFonts w:hint="default" w:ascii="Times New Roman" w:hAnsi="Times New Roman" w:eastAsia="仿宋_GB2312" w:cs="Times New Roman"/>
          <w:spacing w:val="-85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3"/>
          <w:sz w:val="31"/>
          <w:szCs w:val="31"/>
        </w:rPr>
        <w:t>…</w:t>
      </w:r>
      <w:r>
        <w:rPr>
          <w:rFonts w:hint="default" w:ascii="Times New Roman" w:hAnsi="Times New Roman" w:eastAsia="仿宋_GB2312" w:cs="Times New Roman"/>
          <w:spacing w:val="-102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3"/>
          <w:sz w:val="31"/>
          <w:szCs w:val="31"/>
        </w:rPr>
        <w:t>…。</w:t>
      </w:r>
    </w:p>
    <w:p w14:paraId="64E0FCB2">
      <w:pPr>
        <w:spacing w:line="221" w:lineRule="auto"/>
        <w:rPr>
          <w:rFonts w:hint="default" w:ascii="Times New Roman" w:hAnsi="Times New Roman" w:eastAsia="仿宋_GB2312" w:cs="Times New Roman"/>
          <w:sz w:val="31"/>
          <w:szCs w:val="31"/>
        </w:rPr>
        <w:sectPr>
          <w:footerReference r:id="rId11" w:type="default"/>
          <w:pgSz w:w="11907" w:h="16839"/>
          <w:pgMar w:top="1431" w:right="1642" w:bottom="1153" w:left="1785" w:header="0" w:footer="965" w:gutter="0"/>
          <w:cols w:space="720" w:num="1"/>
        </w:sectPr>
      </w:pPr>
    </w:p>
    <w:p w14:paraId="3FD26591">
      <w:pPr>
        <w:spacing w:before="160" w:line="364" w:lineRule="auto"/>
        <w:ind w:left="21" w:right="3" w:firstLine="644"/>
        <w:jc w:val="both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公务接待费预算为  万元，支出决算为</w:t>
      </w:r>
      <w:r>
        <w:rPr>
          <w:rFonts w:hint="default" w:ascii="Times New Roman" w:hAnsi="Times New Roman" w:eastAsia="仿宋_GB2312" w:cs="Times New Roman"/>
          <w:spacing w:val="21"/>
          <w:sz w:val="31"/>
          <w:szCs w:val="31"/>
        </w:rPr>
        <w:t xml:space="preserve">  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万元，完成预</w:t>
      </w:r>
      <w:r>
        <w:rPr>
          <w:rFonts w:hint="default" w:ascii="Times New Roman" w:hAnsi="Times New Roman" w:eastAsia="仿宋_GB2312" w:cs="Times New Roman"/>
          <w:spacing w:val="1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17"/>
          <w:sz w:val="31"/>
          <w:szCs w:val="31"/>
        </w:rPr>
        <w:t>算的   %；较</w:t>
      </w:r>
      <w:r>
        <w:rPr>
          <w:rFonts w:hint="default" w:ascii="Times New Roman" w:hAnsi="Times New Roman" w:eastAsia="仿宋_GB2312" w:cs="Times New Roman"/>
          <w:spacing w:val="-50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17"/>
          <w:sz w:val="31"/>
          <w:szCs w:val="31"/>
        </w:rPr>
        <w:t>2022</w:t>
      </w:r>
      <w:r>
        <w:rPr>
          <w:rFonts w:hint="default" w:ascii="Times New Roman" w:hAnsi="Times New Roman" w:eastAsia="仿宋_GB2312" w:cs="Times New Roman"/>
          <w:spacing w:val="-57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17"/>
          <w:sz w:val="31"/>
          <w:szCs w:val="31"/>
        </w:rPr>
        <w:t>年度增加（减少）   万元，增长（下降）</w:t>
      </w:r>
      <w:r>
        <w:rPr>
          <w:rFonts w:hint="default" w:ascii="Times New Roman" w:hAnsi="Times New Roman" w:eastAsia="仿宋_GB2312" w:cs="Times New Roman"/>
          <w:spacing w:val="-77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17"/>
          <w:sz w:val="31"/>
          <w:szCs w:val="31"/>
        </w:rPr>
        <w:t>%，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25"/>
          <w:sz w:val="31"/>
          <w:szCs w:val="31"/>
        </w:rPr>
        <w:t>主要原因是</w:t>
      </w:r>
      <w:r>
        <w:rPr>
          <w:rFonts w:hint="default" w:ascii="Times New Roman" w:hAnsi="Times New Roman" w:eastAsia="仿宋_GB2312" w:cs="Times New Roman"/>
          <w:spacing w:val="-69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25"/>
          <w:sz w:val="31"/>
          <w:szCs w:val="31"/>
        </w:rPr>
        <w:t>…</w:t>
      </w:r>
      <w:r>
        <w:rPr>
          <w:rFonts w:hint="default" w:ascii="Times New Roman" w:hAnsi="Times New Roman" w:eastAsia="仿宋_GB2312" w:cs="Times New Roman"/>
          <w:spacing w:val="-74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25"/>
          <w:sz w:val="31"/>
          <w:szCs w:val="31"/>
        </w:rPr>
        <w:t>…。决算数大（小）</w:t>
      </w:r>
      <w:r>
        <w:rPr>
          <w:rFonts w:hint="default" w:ascii="Times New Roman" w:hAnsi="Times New Roman" w:eastAsia="仿宋_GB2312" w:cs="Times New Roman"/>
          <w:spacing w:val="-64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25"/>
          <w:sz w:val="31"/>
          <w:szCs w:val="31"/>
        </w:rPr>
        <w:t>于预算数的主要原因</w:t>
      </w:r>
      <w:r>
        <w:rPr>
          <w:rFonts w:hint="default" w:ascii="Times New Roman" w:hAnsi="Times New Roman" w:eastAsia="仿宋_GB2312" w:cs="Times New Roman"/>
          <w:spacing w:val="-20"/>
          <w:sz w:val="31"/>
          <w:szCs w:val="31"/>
        </w:rPr>
        <w:t>是</w:t>
      </w:r>
      <w:r>
        <w:rPr>
          <w:rFonts w:hint="default" w:ascii="Times New Roman" w:hAnsi="Times New Roman" w:eastAsia="仿宋_GB2312" w:cs="Times New Roman"/>
          <w:spacing w:val="-97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20"/>
          <w:sz w:val="31"/>
          <w:szCs w:val="31"/>
        </w:rPr>
        <w:t>…</w:t>
      </w:r>
      <w:r>
        <w:rPr>
          <w:rFonts w:hint="default" w:ascii="Times New Roman" w:hAnsi="Times New Roman" w:eastAsia="仿宋_GB2312" w:cs="Times New Roman"/>
          <w:spacing w:val="-102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20"/>
          <w:sz w:val="31"/>
          <w:szCs w:val="31"/>
        </w:rPr>
        <w:t>…。其中：</w:t>
      </w:r>
    </w:p>
    <w:p w14:paraId="2F0BF4B3">
      <w:pPr>
        <w:spacing w:before="52" w:line="361" w:lineRule="auto"/>
        <w:ind w:left="33" w:firstLine="649"/>
        <w:jc w:val="both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外事接待费支出  万元。主要用于……。全年共接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待外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5"/>
          <w:sz w:val="31"/>
          <w:szCs w:val="31"/>
        </w:rPr>
        <w:t>事来访团组数  个、来访外宾   人次（不包括陪同人员）。</w:t>
      </w:r>
      <w:r>
        <w:rPr>
          <w:rFonts w:hint="default" w:ascii="Times New Roman" w:hAnsi="Times New Roman" w:eastAsia="仿宋_GB2312" w:cs="Times New Roman"/>
          <w:spacing w:val="15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3"/>
          <w:sz w:val="31"/>
          <w:szCs w:val="31"/>
        </w:rPr>
        <w:t>来访外宾主要包括</w:t>
      </w:r>
      <w:r>
        <w:rPr>
          <w:rFonts w:hint="default" w:ascii="Times New Roman" w:hAnsi="Times New Roman" w:eastAsia="仿宋_GB2312" w:cs="Times New Roman"/>
          <w:spacing w:val="-96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3"/>
          <w:sz w:val="31"/>
          <w:szCs w:val="31"/>
        </w:rPr>
        <w:t>…</w:t>
      </w:r>
      <w:r>
        <w:rPr>
          <w:rFonts w:hint="default" w:ascii="Times New Roman" w:hAnsi="Times New Roman" w:eastAsia="仿宋_GB2312" w:cs="Times New Roman"/>
          <w:spacing w:val="-103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3"/>
          <w:sz w:val="31"/>
          <w:szCs w:val="31"/>
        </w:rPr>
        <w:t>…。</w:t>
      </w:r>
    </w:p>
    <w:p w14:paraId="478018EB">
      <w:pPr>
        <w:spacing w:before="53" w:line="362" w:lineRule="auto"/>
        <w:ind w:left="26" w:right="90" w:firstLine="640"/>
        <w:jc w:val="both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其他国内公务接待支出  万元。主要用于……。全年共</w:t>
      </w:r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22"/>
          <w:sz w:val="31"/>
          <w:szCs w:val="31"/>
        </w:rPr>
        <w:t>接待国内来访团组</w:t>
      </w:r>
      <w:r>
        <w:rPr>
          <w:rFonts w:hint="default" w:ascii="Times New Roman" w:hAnsi="Times New Roman" w:eastAsia="仿宋_GB2312" w:cs="Times New Roman"/>
          <w:spacing w:val="33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22"/>
          <w:sz w:val="31"/>
          <w:szCs w:val="31"/>
        </w:rPr>
        <w:t>个、来宾</w:t>
      </w:r>
      <w:r>
        <w:rPr>
          <w:rFonts w:hint="default" w:ascii="Times New Roman" w:hAnsi="Times New Roman" w:eastAsia="仿宋_GB2312" w:cs="Times New Roman"/>
          <w:spacing w:val="34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22"/>
          <w:sz w:val="31"/>
          <w:szCs w:val="31"/>
        </w:rPr>
        <w:t>人次（不包括陪同人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1"/>
          <w:sz w:val="31"/>
          <w:szCs w:val="31"/>
        </w:rPr>
        <w:t>员） 。</w:t>
      </w:r>
    </w:p>
    <w:p w14:paraId="35C71875">
      <w:pPr>
        <w:pStyle w:val="2"/>
        <w:spacing w:line="287" w:lineRule="auto"/>
        <w:rPr>
          <w:rFonts w:hint="default" w:ascii="Times New Roman" w:hAnsi="Times New Roman" w:eastAsia="仿宋_GB2312" w:cs="Times New Roman"/>
        </w:rPr>
      </w:pPr>
    </w:p>
    <w:p w14:paraId="76C572C8">
      <w:pPr>
        <w:pStyle w:val="2"/>
        <w:spacing w:line="287" w:lineRule="auto"/>
        <w:rPr>
          <w:rFonts w:hint="default" w:ascii="Times New Roman" w:hAnsi="Times New Roman" w:eastAsia="仿宋_GB2312" w:cs="Times New Roman"/>
        </w:rPr>
      </w:pPr>
    </w:p>
    <w:p w14:paraId="27631EA0">
      <w:pPr>
        <w:spacing w:before="101" w:line="224" w:lineRule="auto"/>
        <w:ind w:left="750"/>
        <w:outlineLvl w:val="3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十、关于</w:t>
      </w:r>
      <w:r>
        <w:rPr>
          <w:rFonts w:hint="default" w:ascii="Times New Roman" w:hAnsi="Times New Roman" w:eastAsia="仿宋_GB2312" w:cs="Times New Roman"/>
          <w:spacing w:val="-52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2023</w:t>
      </w:r>
      <w:r>
        <w:rPr>
          <w:rFonts w:hint="default" w:ascii="Times New Roman" w:hAnsi="Times New Roman" w:eastAsia="仿宋_GB2312" w:cs="Times New Roman"/>
          <w:spacing w:val="-63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年度绩效评价情况说明</w:t>
      </w:r>
    </w:p>
    <w:p w14:paraId="4F86DFD3">
      <w:pPr>
        <w:spacing w:before="249" w:line="353" w:lineRule="auto"/>
        <w:ind w:left="23" w:right="3" w:firstLine="636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5"/>
          <w:sz w:val="31"/>
          <w:szCs w:val="31"/>
        </w:rPr>
        <w:t>（</w:t>
      </w:r>
      <w:r>
        <w:rPr>
          <w:rFonts w:hint="default" w:ascii="Times New Roman" w:hAnsi="Times New Roman" w:eastAsia="仿宋_GB2312" w:cs="Times New Roman"/>
          <w:spacing w:val="-59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5"/>
          <w:sz w:val="31"/>
          <w:szCs w:val="31"/>
        </w:rPr>
        <w:t>一）绩效评价工作开展情况。绩效评价工作开展情况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说明为：根据预算绩效管理要求，本部门组织对 2023 年度</w:t>
      </w:r>
      <w:r>
        <w:rPr>
          <w:rFonts w:hint="default" w:ascii="Times New Roman" w:hAnsi="Times New Roman" w:eastAsia="仿宋_GB2312" w:cs="Times New Roman"/>
          <w:spacing w:val="3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>一般公共预算项目支出全面开展绩效自评，其中，一级项目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XX</w:t>
      </w:r>
      <w:r>
        <w:rPr>
          <w:rFonts w:hint="default" w:ascii="Times New Roman" w:hAnsi="Times New Roman" w:eastAsia="仿宋_GB2312" w:cs="Times New Roman"/>
          <w:spacing w:val="1"/>
          <w:sz w:val="31"/>
          <w:szCs w:val="31"/>
        </w:rPr>
        <w:t xml:space="preserve"> 个，二级项目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1"/>
          <w:sz w:val="31"/>
          <w:szCs w:val="31"/>
        </w:rPr>
        <w:t xml:space="preserve"> 个，共涉及资金</w:t>
      </w:r>
      <w:r>
        <w:rPr>
          <w:rFonts w:hint="default" w:ascii="Times New Roman" w:hAnsi="Times New Roman" w:eastAsia="仿宋_GB2312" w:cs="Times New Roman"/>
          <w:spacing w:val="-22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1"/>
          <w:sz w:val="31"/>
          <w:szCs w:val="31"/>
        </w:rPr>
        <w:t xml:space="preserve"> 万元，</w:t>
      </w:r>
      <w:r>
        <w:rPr>
          <w:rFonts w:hint="default" w:ascii="Times New Roman" w:hAnsi="Times New Roman" w:eastAsia="仿宋_GB2312" w:cs="Times New Roman"/>
          <w:spacing w:val="-76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1"/>
          <w:sz w:val="31"/>
          <w:szCs w:val="31"/>
        </w:rPr>
        <w:t>占一般公共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预算项目支出总额的</w:t>
      </w:r>
      <w:r>
        <w:rPr>
          <w:rFonts w:hint="default" w:ascii="Times New Roman" w:hAnsi="Times New Roman" w:eastAsia="仿宋_GB2312" w:cs="Times New Roman"/>
          <w:spacing w:val="-60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%。组织对</w:t>
      </w:r>
      <w:r>
        <w:rPr>
          <w:rFonts w:hint="default" w:ascii="Times New Roman" w:hAnsi="Times New Roman" w:eastAsia="仿宋_GB2312" w:cs="Times New Roman"/>
          <w:spacing w:val="-57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2023</w:t>
      </w:r>
      <w:r>
        <w:rPr>
          <w:rFonts w:hint="default" w:ascii="Times New Roman" w:hAnsi="Times New Roman" w:eastAsia="仿宋_GB2312" w:cs="Times New Roman"/>
          <w:spacing w:val="-60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年度</w:t>
      </w:r>
      <w:r>
        <w:rPr>
          <w:rFonts w:hint="default" w:ascii="Times New Roman" w:hAnsi="Times New Roman" w:eastAsia="仿宋_GB2312" w:cs="Times New Roman"/>
          <w:spacing w:val="-67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XXX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、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XXX</w:t>
      </w:r>
      <w:r>
        <w:rPr>
          <w:rFonts w:hint="default" w:ascii="Times New Roman" w:hAnsi="Times New Roman" w:eastAsia="仿宋_GB2312" w:cs="Times New Roman"/>
          <w:spacing w:val="-49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等</w:t>
      </w:r>
      <w:r>
        <w:rPr>
          <w:rFonts w:hint="default" w:ascii="Times New Roman" w:hAnsi="Times New Roman" w:eastAsia="仿宋_GB2312" w:cs="Times New Roman"/>
          <w:spacing w:val="-65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XX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个政府性基金预算项目开展绩效自评，共涉及资金</w:t>
      </w:r>
      <w:r>
        <w:rPr>
          <w:rFonts w:hint="default" w:ascii="Times New Roman" w:hAnsi="Times New Roman" w:eastAsia="仿宋_GB2312" w:cs="Times New Roman"/>
          <w:spacing w:val="-45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-44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万元，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 xml:space="preserve">占政府性基金预算项目支出总额的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%。组织对 2023 年度</w:t>
      </w:r>
      <w:r>
        <w:rPr>
          <w:rFonts w:hint="default" w:ascii="Times New Roman" w:hAnsi="Times New Roman" w:eastAsia="仿宋_GB2312" w:cs="Times New Roman"/>
          <w:spacing w:val="3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XXX</w:t>
      </w:r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>、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XXX</w:t>
      </w:r>
      <w:r>
        <w:rPr>
          <w:rFonts w:hint="default" w:ascii="Times New Roman" w:hAnsi="Times New Roman" w:eastAsia="仿宋_GB2312" w:cs="Times New Roman"/>
          <w:spacing w:val="-21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>等</w:t>
      </w:r>
      <w:r>
        <w:rPr>
          <w:rFonts w:hint="default" w:ascii="Times New Roman" w:hAnsi="Times New Roman" w:eastAsia="仿宋_GB2312" w:cs="Times New Roman"/>
          <w:spacing w:val="-43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-37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>个国有资本经营预算项目开展绩效自评，共</w:t>
      </w:r>
    </w:p>
    <w:p w14:paraId="29F60165">
      <w:pPr>
        <w:spacing w:line="353" w:lineRule="auto"/>
        <w:rPr>
          <w:rFonts w:hint="default" w:ascii="Times New Roman" w:hAnsi="Times New Roman" w:eastAsia="仿宋_GB2312" w:cs="Times New Roman"/>
          <w:sz w:val="31"/>
          <w:szCs w:val="31"/>
        </w:rPr>
        <w:sectPr>
          <w:footerReference r:id="rId12" w:type="default"/>
          <w:pgSz w:w="11907" w:h="16839"/>
          <w:pgMar w:top="1431" w:right="1710" w:bottom="1153" w:left="1785" w:header="0" w:footer="965" w:gutter="0"/>
          <w:cols w:space="720" w:num="1"/>
        </w:sectPr>
      </w:pPr>
    </w:p>
    <w:p w14:paraId="72A4D62F">
      <w:pPr>
        <w:spacing w:before="159" w:line="223" w:lineRule="auto"/>
        <w:jc w:val="right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3"/>
          <w:sz w:val="31"/>
          <w:szCs w:val="31"/>
        </w:rPr>
        <w:t>涉及资金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-76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3"/>
          <w:sz w:val="31"/>
          <w:szCs w:val="31"/>
        </w:rPr>
        <w:t>万元，占国有资本经营预算项目支出总</w:t>
      </w:r>
      <w:r>
        <w:rPr>
          <w:rFonts w:hint="default" w:ascii="Times New Roman" w:hAnsi="Times New Roman" w:eastAsia="仿宋_GB2312" w:cs="Times New Roman"/>
          <w:spacing w:val="2"/>
          <w:sz w:val="31"/>
          <w:szCs w:val="31"/>
        </w:rPr>
        <w:t>额的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2"/>
          <w:sz w:val="31"/>
          <w:szCs w:val="31"/>
        </w:rPr>
        <w:t>%。</w:t>
      </w:r>
    </w:p>
    <w:p w14:paraId="4AA7036F">
      <w:pPr>
        <w:spacing w:before="252" w:line="364" w:lineRule="auto"/>
        <w:ind w:left="23" w:right="102" w:firstLine="648"/>
        <w:jc w:val="both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10"/>
          <w:sz w:val="31"/>
          <w:szCs w:val="31"/>
        </w:rPr>
        <w:t>组织对“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XXX</w:t>
      </w:r>
      <w:r>
        <w:rPr>
          <w:rFonts w:hint="default" w:ascii="Times New Roman" w:hAnsi="Times New Roman" w:eastAsia="仿宋_GB2312" w:cs="Times New Roman"/>
          <w:spacing w:val="10"/>
          <w:sz w:val="31"/>
          <w:szCs w:val="31"/>
        </w:rPr>
        <w:t>”“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XXX</w:t>
      </w:r>
      <w:r>
        <w:rPr>
          <w:rFonts w:hint="default" w:ascii="Times New Roman" w:hAnsi="Times New Roman" w:eastAsia="仿宋_GB2312" w:cs="Times New Roman"/>
          <w:spacing w:val="10"/>
          <w:sz w:val="31"/>
          <w:szCs w:val="31"/>
        </w:rPr>
        <w:t xml:space="preserve">”等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10"/>
          <w:sz w:val="31"/>
          <w:szCs w:val="31"/>
        </w:rPr>
        <w:t xml:space="preserve"> 个项目开展了部门绩效评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 xml:space="preserve">价，涉及一般公共预算支出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 xml:space="preserve"> 万元，政府性基金预算支出</w:t>
      </w:r>
      <w:r>
        <w:rPr>
          <w:rFonts w:hint="default" w:ascii="Times New Roman" w:hAnsi="Times New Roman" w:eastAsia="仿宋_GB2312" w:cs="Times New Roman"/>
          <w:spacing w:val="2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14"/>
          <w:sz w:val="31"/>
          <w:szCs w:val="31"/>
        </w:rPr>
        <w:t xml:space="preserve"> 万元，国有资本经营预算支出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59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14"/>
          <w:sz w:val="31"/>
          <w:szCs w:val="31"/>
        </w:rPr>
        <w:t>万元。从评价情况来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2"/>
          <w:sz w:val="31"/>
          <w:szCs w:val="31"/>
        </w:rPr>
        <w:t>看，</w:t>
      </w:r>
      <w:r>
        <w:rPr>
          <w:rFonts w:hint="default" w:ascii="Times New Roman" w:hAnsi="Times New Roman" w:eastAsia="仿宋_GB2312" w:cs="Times New Roman"/>
          <w:spacing w:val="-90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2"/>
          <w:sz w:val="31"/>
          <w:szCs w:val="31"/>
        </w:rPr>
        <w:t>……</w:t>
      </w:r>
    </w:p>
    <w:p w14:paraId="0BFC0DDB">
      <w:pPr>
        <w:spacing w:before="250" w:line="362" w:lineRule="auto"/>
        <w:ind w:left="33" w:right="106" w:firstLine="638"/>
        <w:jc w:val="both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涉及一般公共预</w:t>
      </w:r>
      <w:r>
        <w:rPr>
          <w:rFonts w:hint="default" w:ascii="Times New Roman" w:hAnsi="Times New Roman" w:eastAsia="仿宋_GB2312" w:cs="Times New Roman"/>
          <w:spacing w:val="15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算支出</w:t>
      </w:r>
      <w:r>
        <w:rPr>
          <w:rFonts w:hint="default" w:ascii="Times New Roman" w:hAnsi="Times New Roman" w:eastAsia="仿宋_GB2312" w:cs="Times New Roman"/>
          <w:spacing w:val="-65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-47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万元，政府性基金预算支出</w:t>
      </w:r>
      <w:r>
        <w:rPr>
          <w:rFonts w:hint="default" w:ascii="Times New Roman" w:hAnsi="Times New Roman" w:eastAsia="仿宋_GB2312" w:cs="Times New Roman"/>
          <w:spacing w:val="-63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-47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万元。从评价</w:t>
      </w:r>
      <w:r>
        <w:rPr>
          <w:rFonts w:hint="default" w:ascii="Times New Roman" w:hAnsi="Times New Roman" w:eastAsia="仿宋_GB2312" w:cs="Times New Roman"/>
          <w:spacing w:val="5"/>
          <w:sz w:val="31"/>
          <w:szCs w:val="31"/>
        </w:rPr>
        <w:t>情况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11"/>
          <w:sz w:val="31"/>
          <w:szCs w:val="31"/>
        </w:rPr>
        <w:t>来看，</w:t>
      </w:r>
      <w:r>
        <w:rPr>
          <w:rFonts w:hint="default" w:ascii="Times New Roman" w:hAnsi="Times New Roman" w:eastAsia="仿宋_GB2312" w:cs="Times New Roman"/>
          <w:spacing w:val="-81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11"/>
          <w:sz w:val="31"/>
          <w:szCs w:val="31"/>
        </w:rPr>
        <w:t>…</w:t>
      </w:r>
      <w:r>
        <w:rPr>
          <w:rFonts w:hint="default" w:ascii="Times New Roman" w:hAnsi="Times New Roman" w:eastAsia="仿宋_GB2312" w:cs="Times New Roman"/>
          <w:spacing w:val="-101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11"/>
          <w:sz w:val="31"/>
          <w:szCs w:val="31"/>
        </w:rPr>
        <w:t>…</w:t>
      </w:r>
    </w:p>
    <w:p w14:paraId="43AED580">
      <w:pPr>
        <w:spacing w:before="253" w:line="356" w:lineRule="auto"/>
        <w:ind w:left="36" w:right="22" w:firstLine="622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-4"/>
          <w:sz w:val="31"/>
          <w:szCs w:val="31"/>
        </w:rPr>
        <w:t>（二）</w:t>
      </w:r>
      <w:r>
        <w:rPr>
          <w:rFonts w:hint="default" w:ascii="Times New Roman" w:hAnsi="Times New Roman" w:eastAsia="仿宋_GB2312" w:cs="Times New Roman"/>
          <w:spacing w:val="-63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4"/>
          <w:sz w:val="31"/>
          <w:szCs w:val="31"/>
        </w:rPr>
        <w:t>项目绩效自评结果（如有）。除涉密敏感内容外，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省级部门原则上应予以公开。按照如下格式说明</w:t>
      </w:r>
      <w:r>
        <w:rPr>
          <w:rFonts w:hint="default" w:ascii="Times New Roman" w:hAnsi="Times New Roman" w:eastAsia="仿宋_GB2312" w:cs="Times New Roman"/>
          <w:spacing w:val="-84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:</w:t>
      </w:r>
    </w:p>
    <w:p w14:paraId="71A080FA">
      <w:pPr>
        <w:spacing w:before="49" w:line="366" w:lineRule="auto"/>
        <w:ind w:left="21" w:right="107" w:firstLine="641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z w:val="31"/>
          <w:szCs w:val="31"/>
        </w:rPr>
        <w:t>XXX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 xml:space="preserve"> 项目绩效自评情况：根据年初设定的绩效目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标，项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目绩效自评得分为</w:t>
      </w:r>
      <w:r>
        <w:rPr>
          <w:rFonts w:hint="default" w:ascii="Times New Roman" w:hAnsi="Times New Roman" w:eastAsia="仿宋_GB2312" w:cs="Times New Roman"/>
          <w:spacing w:val="-64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-60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分。项目全年预算数为</w:t>
      </w:r>
      <w:r>
        <w:rPr>
          <w:rFonts w:hint="default" w:ascii="Times New Roman" w:hAnsi="Times New Roman" w:eastAsia="仿宋_GB2312" w:cs="Times New Roman"/>
          <w:spacing w:val="-64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-47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万元，执行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数为</w:t>
      </w:r>
      <w:r>
        <w:rPr>
          <w:rFonts w:hint="default" w:ascii="Times New Roman" w:hAnsi="Times New Roman" w:eastAsia="仿宋_GB2312" w:cs="Times New Roman"/>
          <w:spacing w:val="-65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-47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万元，完成预算的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%。项目绩效目标完成情况：一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1"/>
          <w:sz w:val="31"/>
          <w:szCs w:val="31"/>
        </w:rPr>
        <w:t>是……；二是</w:t>
      </w:r>
      <w:r>
        <w:rPr>
          <w:rFonts w:hint="default" w:ascii="Times New Roman" w:hAnsi="Times New Roman" w:eastAsia="仿宋_GB2312" w:cs="Times New Roman"/>
          <w:spacing w:val="-87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1"/>
          <w:sz w:val="31"/>
          <w:szCs w:val="31"/>
        </w:rPr>
        <w:t>…</w:t>
      </w:r>
      <w:r>
        <w:rPr>
          <w:rFonts w:hint="default" w:ascii="Times New Roman" w:hAnsi="Times New Roman" w:eastAsia="仿宋_GB2312" w:cs="Times New Roman"/>
          <w:spacing w:val="-103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1"/>
          <w:sz w:val="31"/>
          <w:szCs w:val="31"/>
        </w:rPr>
        <w:t>…</w:t>
      </w:r>
      <w:r>
        <w:rPr>
          <w:rFonts w:hint="default" w:ascii="Times New Roman" w:hAnsi="Times New Roman" w:eastAsia="仿宋_GB2312" w:cs="Times New Roman"/>
          <w:spacing w:val="-120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1"/>
          <w:sz w:val="31"/>
          <w:szCs w:val="31"/>
        </w:rPr>
        <w:t>。发现的主要问题及原因：一是</w:t>
      </w:r>
      <w:r>
        <w:rPr>
          <w:rFonts w:hint="default" w:ascii="Times New Roman" w:hAnsi="Times New Roman" w:eastAsia="仿宋_GB2312" w:cs="Times New Roman"/>
          <w:spacing w:val="-101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1"/>
          <w:sz w:val="31"/>
          <w:szCs w:val="31"/>
        </w:rPr>
        <w:t>…</w:t>
      </w:r>
      <w:r>
        <w:rPr>
          <w:rFonts w:hint="default" w:ascii="Times New Roman" w:hAnsi="Times New Roman" w:eastAsia="仿宋_GB2312" w:cs="Times New Roman"/>
          <w:spacing w:val="-102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1"/>
          <w:sz w:val="31"/>
          <w:szCs w:val="31"/>
        </w:rPr>
        <w:t>…；二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是……。下一步改进措施：一是……；二是</w:t>
      </w:r>
      <w:r>
        <w:rPr>
          <w:rFonts w:hint="default" w:ascii="Times New Roman" w:hAnsi="Times New Roman" w:eastAsia="仿宋_GB2312" w:cs="Times New Roman"/>
          <w:spacing w:val="-96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…</w:t>
      </w:r>
      <w:r>
        <w:rPr>
          <w:rFonts w:hint="default" w:ascii="Times New Roman" w:hAnsi="Times New Roman" w:eastAsia="仿宋_GB2312" w:cs="Times New Roman"/>
          <w:spacing w:val="-102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…。</w:t>
      </w:r>
    </w:p>
    <w:p w14:paraId="08EE0646">
      <w:pPr>
        <w:spacing w:before="49" w:line="224" w:lineRule="auto"/>
        <w:ind w:left="663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-3"/>
          <w:sz w:val="31"/>
          <w:szCs w:val="31"/>
        </w:rPr>
        <w:t>XXX</w:t>
      </w:r>
      <w:r>
        <w:rPr>
          <w:rFonts w:hint="default" w:ascii="Times New Roman" w:hAnsi="Times New Roman" w:eastAsia="仿宋_GB2312" w:cs="Times New Roman"/>
          <w:spacing w:val="-52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3"/>
          <w:sz w:val="31"/>
          <w:szCs w:val="31"/>
        </w:rPr>
        <w:t>项目绩效自评情况：</w:t>
      </w:r>
      <w:r>
        <w:rPr>
          <w:rFonts w:hint="default" w:ascii="Times New Roman" w:hAnsi="Times New Roman" w:eastAsia="仿宋_GB2312" w:cs="Times New Roman"/>
          <w:spacing w:val="-71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3"/>
          <w:sz w:val="31"/>
          <w:szCs w:val="31"/>
        </w:rPr>
        <w:t>…</w:t>
      </w:r>
      <w:r>
        <w:rPr>
          <w:rFonts w:hint="default" w:ascii="Times New Roman" w:hAnsi="Times New Roman" w:eastAsia="仿宋_GB2312" w:cs="Times New Roman"/>
          <w:spacing w:val="-103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3"/>
          <w:sz w:val="31"/>
          <w:szCs w:val="31"/>
        </w:rPr>
        <w:t>…。</w:t>
      </w:r>
    </w:p>
    <w:p w14:paraId="1CBB39DD">
      <w:pPr>
        <w:spacing w:before="250" w:line="364" w:lineRule="auto"/>
        <w:ind w:left="34" w:firstLine="625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（三）</w:t>
      </w:r>
      <w:r>
        <w:rPr>
          <w:rFonts w:hint="default" w:ascii="Times New Roman" w:hAnsi="Times New Roman" w:eastAsia="仿宋_GB2312" w:cs="Times New Roman"/>
          <w:spacing w:val="-31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部门评价结果（如有）。除涉密敏感内容外，省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级部门原则上应将部门评价结果以报告的形式予以公开。报</w:t>
      </w:r>
      <w:r>
        <w:rPr>
          <w:rFonts w:hint="default" w:ascii="Times New Roman" w:hAnsi="Times New Roman" w:eastAsia="仿宋_GB2312" w:cs="Times New Roman"/>
          <w:spacing w:val="16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10"/>
          <w:sz w:val="31"/>
          <w:szCs w:val="31"/>
        </w:rPr>
        <w:t>告框架可参考《项目支出绩效评价管理办法》（吉财绩〔2022〕</w:t>
      </w:r>
      <w:r>
        <w:rPr>
          <w:rFonts w:hint="default" w:ascii="Times New Roman" w:hAnsi="Times New Roman" w:eastAsia="仿宋_GB2312" w:cs="Times New Roman"/>
          <w:spacing w:val="10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5"/>
          <w:sz w:val="31"/>
          <w:szCs w:val="31"/>
        </w:rPr>
        <w:t>711</w:t>
      </w:r>
      <w:r>
        <w:rPr>
          <w:rFonts w:hint="default" w:ascii="Times New Roman" w:hAnsi="Times New Roman" w:eastAsia="仿宋_GB2312" w:cs="Times New Roman"/>
          <w:spacing w:val="-39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5"/>
          <w:sz w:val="31"/>
          <w:szCs w:val="31"/>
        </w:rPr>
        <w:t>号）中的《项目支出绩效评价报告（参考提纲）》。</w:t>
      </w:r>
    </w:p>
    <w:p w14:paraId="2CC82008">
      <w:pPr>
        <w:spacing w:line="364" w:lineRule="auto"/>
        <w:rPr>
          <w:rFonts w:hint="default" w:ascii="Times New Roman" w:hAnsi="Times New Roman" w:eastAsia="仿宋_GB2312" w:cs="Times New Roman"/>
          <w:sz w:val="31"/>
          <w:szCs w:val="31"/>
        </w:rPr>
        <w:sectPr>
          <w:footerReference r:id="rId13" w:type="default"/>
          <w:pgSz w:w="11907" w:h="16839"/>
          <w:pgMar w:top="1431" w:right="1694" w:bottom="1153" w:left="1785" w:header="0" w:footer="965" w:gutter="0"/>
          <w:cols w:space="720" w:num="1"/>
        </w:sectPr>
      </w:pPr>
    </w:p>
    <w:p w14:paraId="6B19D58A">
      <w:pPr>
        <w:pStyle w:val="2"/>
        <w:spacing w:line="339" w:lineRule="auto"/>
        <w:rPr>
          <w:rFonts w:hint="default" w:ascii="Times New Roman" w:hAnsi="Times New Roman" w:eastAsia="仿宋_GB2312" w:cs="Times New Roman"/>
        </w:rPr>
      </w:pPr>
    </w:p>
    <w:p w14:paraId="1A740136">
      <w:pPr>
        <w:pStyle w:val="2"/>
        <w:spacing w:line="339" w:lineRule="auto"/>
        <w:rPr>
          <w:rFonts w:hint="default" w:ascii="Times New Roman" w:hAnsi="Times New Roman" w:eastAsia="仿宋_GB2312" w:cs="Times New Roman"/>
        </w:rPr>
      </w:pPr>
    </w:p>
    <w:p w14:paraId="0D6E42FE">
      <w:pPr>
        <w:spacing w:before="100" w:line="224" w:lineRule="auto"/>
        <w:ind w:left="671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十一、其他重要事项情况说明</w:t>
      </w:r>
    </w:p>
    <w:p w14:paraId="1EEB9B54">
      <w:pPr>
        <w:spacing w:before="248" w:line="222" w:lineRule="auto"/>
        <w:ind w:left="659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（</w:t>
      </w:r>
      <w:r>
        <w:rPr>
          <w:rFonts w:hint="default" w:ascii="Times New Roman" w:hAnsi="Times New Roman" w:eastAsia="仿宋_GB2312" w:cs="Times New Roman"/>
          <w:spacing w:val="-73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一）机关运行经费执行情况说明</w:t>
      </w:r>
    </w:p>
    <w:p w14:paraId="5430CBDE">
      <w:pPr>
        <w:spacing w:before="251" w:line="357" w:lineRule="auto"/>
        <w:ind w:left="19" w:right="170" w:firstLine="652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2023年度机关运行经费支出   万元，较2022年度增加</w:t>
      </w:r>
      <w:r>
        <w:rPr>
          <w:rFonts w:hint="default" w:ascii="Times New Roman" w:hAnsi="Times New Roman" w:eastAsia="仿宋_GB2312" w:cs="Times New Roman"/>
          <w:spacing w:val="14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4"/>
          <w:sz w:val="31"/>
          <w:szCs w:val="31"/>
        </w:rPr>
        <w:t>（减少）  万元，增长（降低）</w:t>
      </w:r>
      <w:r>
        <w:rPr>
          <w:rFonts w:hint="default" w:ascii="Times New Roman" w:hAnsi="Times New Roman" w:eastAsia="仿宋_GB2312" w:cs="Times New Roman"/>
          <w:spacing w:val="18"/>
          <w:sz w:val="31"/>
          <w:szCs w:val="31"/>
        </w:rPr>
        <w:t xml:space="preserve">  </w:t>
      </w:r>
      <w:r>
        <w:rPr>
          <w:rFonts w:hint="default" w:ascii="Times New Roman" w:hAnsi="Times New Roman" w:eastAsia="仿宋_GB2312" w:cs="Times New Roman"/>
          <w:spacing w:val="-4"/>
          <w:sz w:val="31"/>
          <w:szCs w:val="31"/>
        </w:rPr>
        <w:t>%，主要是</w:t>
      </w:r>
      <w:r>
        <w:rPr>
          <w:rFonts w:hint="default" w:ascii="Times New Roman" w:hAnsi="Times New Roman" w:eastAsia="仿宋_GB2312" w:cs="Times New Roman"/>
          <w:spacing w:val="-100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4"/>
          <w:sz w:val="31"/>
          <w:szCs w:val="31"/>
        </w:rPr>
        <w:t>…</w:t>
      </w:r>
      <w:r>
        <w:rPr>
          <w:rFonts w:hint="default" w:ascii="Times New Roman" w:hAnsi="Times New Roman" w:eastAsia="仿宋_GB2312" w:cs="Times New Roman"/>
          <w:spacing w:val="-102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5"/>
          <w:sz w:val="31"/>
          <w:szCs w:val="31"/>
        </w:rPr>
        <w:t>…。</w:t>
      </w:r>
    </w:p>
    <w:p w14:paraId="45F619DC">
      <w:pPr>
        <w:spacing w:before="48" w:line="224" w:lineRule="auto"/>
        <w:ind w:left="659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>（二）政府采购支出情况说明</w:t>
      </w:r>
    </w:p>
    <w:p w14:paraId="73D1EE52">
      <w:pPr>
        <w:spacing w:before="249" w:line="368" w:lineRule="auto"/>
        <w:ind w:left="29" w:right="24" w:firstLine="641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2023 年度政府采购支出总额 万元，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其中：政府采购货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物支出  万元、政府采购工程支出</w:t>
      </w:r>
      <w:r>
        <w:rPr>
          <w:rFonts w:hint="default" w:ascii="Times New Roman" w:hAnsi="Times New Roman" w:eastAsia="仿宋_GB2312" w:cs="Times New Roman"/>
          <w:spacing w:val="23"/>
          <w:sz w:val="31"/>
          <w:szCs w:val="31"/>
        </w:rPr>
        <w:t xml:space="preserve">  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万元、政府采购服务支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出  万元。授予中小企业合同金额</w:t>
      </w:r>
      <w:r>
        <w:rPr>
          <w:rFonts w:hint="default" w:ascii="Times New Roman" w:hAnsi="Times New Roman" w:eastAsia="仿宋_GB2312" w:cs="Times New Roman"/>
          <w:spacing w:val="27"/>
          <w:sz w:val="31"/>
          <w:szCs w:val="31"/>
        </w:rPr>
        <w:t xml:space="preserve"> 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万元，</w:t>
      </w:r>
      <w:r>
        <w:rPr>
          <w:rFonts w:hint="default" w:ascii="Times New Roman" w:hAnsi="Times New Roman" w:eastAsia="仿宋_GB2312" w:cs="Times New Roman"/>
          <w:spacing w:val="-85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占政府采购支出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5"/>
          <w:sz w:val="31"/>
          <w:szCs w:val="31"/>
        </w:rPr>
        <w:t>总额的 %，其中：授予小微企业合同金额  万元，</w:t>
      </w:r>
      <w:r>
        <w:rPr>
          <w:rFonts w:hint="default" w:ascii="Times New Roman" w:hAnsi="Times New Roman" w:eastAsia="仿宋_GB2312" w:cs="Times New Roman"/>
          <w:spacing w:val="-67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5"/>
          <w:sz w:val="31"/>
          <w:szCs w:val="31"/>
        </w:rPr>
        <w:t>占授予中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小企业合同金额的 %；货物采购授予中小企业合同金额占货</w:t>
      </w:r>
      <w:r>
        <w:rPr>
          <w:rFonts w:hint="default" w:ascii="Times New Roman" w:hAnsi="Times New Roman" w:eastAsia="仿宋_GB2312" w:cs="Times New Roman"/>
          <w:spacing w:val="14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物支出金额的 %，工程采购授予中小企业合同金额占工程支</w:t>
      </w:r>
      <w:r>
        <w:rPr>
          <w:rFonts w:hint="default" w:ascii="Times New Roman" w:hAnsi="Times New Roman" w:eastAsia="仿宋_GB2312" w:cs="Times New Roman"/>
          <w:spacing w:val="13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出金额的 %，服务采购授予中小企业合同金额占服务支出金</w:t>
      </w:r>
      <w:r>
        <w:rPr>
          <w:rFonts w:hint="default" w:ascii="Times New Roman" w:hAnsi="Times New Roman" w:eastAsia="仿宋_GB2312" w:cs="Times New Roman"/>
          <w:spacing w:val="13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2"/>
          <w:sz w:val="31"/>
          <w:szCs w:val="31"/>
        </w:rPr>
        <w:t>额的 %。</w:t>
      </w:r>
    </w:p>
    <w:p w14:paraId="6CF1D089">
      <w:pPr>
        <w:spacing w:before="48" w:line="224" w:lineRule="auto"/>
        <w:ind w:left="659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>（三）国有资产占用情况说明</w:t>
      </w:r>
    </w:p>
    <w:p w14:paraId="118493A5">
      <w:pPr>
        <w:spacing w:before="286" w:line="340" w:lineRule="auto"/>
        <w:ind w:left="21" w:firstLine="650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z w:val="31"/>
          <w:szCs w:val="31"/>
        </w:rPr>
        <w:t>截至</w:t>
      </w:r>
      <w:r>
        <w:rPr>
          <w:rFonts w:hint="default" w:ascii="Times New Roman" w:hAnsi="Times New Roman" w:eastAsia="仿宋_GB2312" w:cs="Times New Roman"/>
          <w:spacing w:val="-33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2023</w:t>
      </w:r>
      <w:r>
        <w:rPr>
          <w:rFonts w:hint="default" w:ascii="Times New Roman" w:hAnsi="Times New Roman" w:eastAsia="仿宋_GB2312" w:cs="Times New Roman"/>
          <w:spacing w:val="-33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年 12 月</w:t>
      </w:r>
      <w:r>
        <w:rPr>
          <w:rFonts w:hint="default" w:ascii="Times New Roman" w:hAnsi="Times New Roman" w:eastAsia="仿宋_GB2312" w:cs="Times New Roman"/>
          <w:spacing w:val="-31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31 日，XXXX（部门标</w:t>
      </w:r>
      <w:r>
        <w:rPr>
          <w:rFonts w:hint="default" w:ascii="Times New Roman" w:hAnsi="Times New Roman" w:eastAsia="仿宋_GB2312" w:cs="Times New Roman"/>
          <w:spacing w:val="-1"/>
          <w:sz w:val="31"/>
          <w:szCs w:val="31"/>
        </w:rPr>
        <w:t>准名称）共有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 xml:space="preserve">车辆  辆，其中，副部（省）级及以上领导用车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 xml:space="preserve"> 辆、主</w:t>
      </w:r>
      <w:r>
        <w:rPr>
          <w:rFonts w:hint="default" w:ascii="Times New Roman" w:hAnsi="Times New Roman" w:eastAsia="仿宋_GB2312" w:cs="Times New Roman"/>
          <w:spacing w:val="17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要负责人用车</w:t>
      </w:r>
      <w:r>
        <w:rPr>
          <w:rFonts w:hint="default" w:ascii="Times New Roman" w:hAnsi="Times New Roman" w:eastAsia="仿宋_GB2312" w:cs="Times New Roman"/>
          <w:spacing w:val="-56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-64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辆、机要通信用车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-62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辆、应急保障用车</w:t>
      </w:r>
      <w:r>
        <w:rPr>
          <w:rFonts w:hint="default" w:ascii="Times New Roman" w:hAnsi="Times New Roman" w:eastAsia="仿宋_GB2312" w:cs="Times New Roman"/>
          <w:spacing w:val="-64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XX </w:t>
      </w:r>
      <w:r>
        <w:rPr>
          <w:rFonts w:hint="default" w:ascii="Times New Roman" w:hAnsi="Times New Roman" w:eastAsia="仿宋_GB2312" w:cs="Times New Roman"/>
          <w:spacing w:val="12"/>
          <w:sz w:val="31"/>
          <w:szCs w:val="31"/>
        </w:rPr>
        <w:t>辆、执法执勤用车</w:t>
      </w:r>
      <w:r>
        <w:rPr>
          <w:rFonts w:hint="default" w:ascii="Times New Roman" w:hAnsi="Times New Roman" w:eastAsia="仿宋_GB2312" w:cs="Times New Roman"/>
          <w:spacing w:val="-64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-63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12"/>
          <w:sz w:val="31"/>
          <w:szCs w:val="31"/>
        </w:rPr>
        <w:t>辆、特种专业技术用车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-64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12"/>
          <w:sz w:val="31"/>
          <w:szCs w:val="31"/>
        </w:rPr>
        <w:t>辆</w:t>
      </w:r>
      <w:r>
        <w:rPr>
          <w:rFonts w:hint="default" w:ascii="Times New Roman" w:hAnsi="Times New Roman" w:eastAsia="仿宋_GB2312" w:cs="Times New Roman"/>
          <w:spacing w:val="11"/>
          <w:sz w:val="31"/>
          <w:szCs w:val="31"/>
        </w:rPr>
        <w:t>、离退休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干部用车</w:t>
      </w:r>
      <w:r>
        <w:rPr>
          <w:rFonts w:hint="default" w:ascii="Times New Roman" w:hAnsi="Times New Roman" w:eastAsia="仿宋_GB2312" w:cs="Times New Roman"/>
          <w:spacing w:val="-67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-63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辆、其他用车</w:t>
      </w:r>
      <w:r>
        <w:rPr>
          <w:rFonts w:hint="default" w:ascii="Times New Roman" w:hAnsi="Times New Roman" w:eastAsia="仿宋_GB2312" w:cs="Times New Roman"/>
          <w:spacing w:val="-67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-62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辆，其他用车主要是……；单</w:t>
      </w:r>
      <w:r>
        <w:rPr>
          <w:rFonts w:hint="default" w:ascii="Times New Roman" w:hAnsi="Times New Roman" w:eastAsia="仿宋_GB2312" w:cs="Times New Roman"/>
          <w:spacing w:val="2"/>
          <w:sz w:val="31"/>
          <w:szCs w:val="31"/>
        </w:rPr>
        <w:t>位价值</w:t>
      </w:r>
      <w:r>
        <w:rPr>
          <w:rFonts w:hint="default" w:ascii="Times New Roman" w:hAnsi="Times New Roman" w:eastAsia="仿宋_GB2312" w:cs="Times New Roman"/>
          <w:spacing w:val="-25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2"/>
          <w:sz w:val="31"/>
          <w:szCs w:val="31"/>
        </w:rPr>
        <w:t>100</w:t>
      </w:r>
      <w:r>
        <w:rPr>
          <w:rFonts w:hint="default" w:ascii="Times New Roman" w:hAnsi="Times New Roman" w:eastAsia="仿宋_GB2312" w:cs="Times New Roman"/>
          <w:spacing w:val="-47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2"/>
          <w:sz w:val="31"/>
          <w:szCs w:val="31"/>
        </w:rPr>
        <w:t>万元（含）以上设备（不含车辆）</w:t>
      </w:r>
      <w:r>
        <w:rPr>
          <w:rFonts w:hint="default" w:ascii="Times New Roman" w:hAnsi="Times New Roman" w:eastAsia="仿宋_GB2312" w:cs="Times New Roman"/>
          <w:sz w:val="31"/>
          <w:szCs w:val="31"/>
        </w:rPr>
        <w:t>XX</w:t>
      </w:r>
      <w:r>
        <w:rPr>
          <w:rFonts w:hint="default" w:ascii="Times New Roman" w:hAnsi="Times New Roman" w:eastAsia="仿宋_GB2312" w:cs="Times New Roman"/>
          <w:spacing w:val="-28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2"/>
          <w:sz w:val="31"/>
          <w:szCs w:val="31"/>
        </w:rPr>
        <w:t>台（套）。</w:t>
      </w:r>
    </w:p>
    <w:p w14:paraId="17B9F26A">
      <w:pPr>
        <w:spacing w:line="340" w:lineRule="auto"/>
        <w:rPr>
          <w:rFonts w:hint="default" w:ascii="Times New Roman" w:hAnsi="Times New Roman" w:eastAsia="仿宋_GB2312" w:cs="Times New Roman"/>
          <w:sz w:val="31"/>
          <w:szCs w:val="31"/>
        </w:rPr>
        <w:sectPr>
          <w:footerReference r:id="rId14" w:type="default"/>
          <w:pgSz w:w="11907" w:h="16839"/>
          <w:pgMar w:top="1431" w:right="1774" w:bottom="1153" w:left="1785" w:header="0" w:footer="965" w:gutter="0"/>
          <w:cols w:space="720" w:num="1"/>
        </w:sectPr>
      </w:pPr>
    </w:p>
    <w:p w14:paraId="571F6390">
      <w:pPr>
        <w:spacing w:before="225" w:line="443" w:lineRule="exact"/>
        <w:ind w:left="2186"/>
        <w:outlineLvl w:val="0"/>
        <w:rPr>
          <w:rFonts w:hint="default" w:ascii="Times New Roman" w:hAnsi="Times New Roman" w:eastAsia="仿宋_GB2312" w:cs="Times New Roman"/>
          <w:sz w:val="44"/>
          <w:szCs w:val="44"/>
        </w:rPr>
      </w:pPr>
      <w:r>
        <w:rPr>
          <w:rFonts w:hint="default" w:ascii="Times New Roman" w:hAnsi="Times New Roman" w:eastAsia="仿宋_GB2312" w:cs="Times New Roman"/>
          <w:spacing w:val="-4"/>
          <w:position w:val="-2"/>
          <w:sz w:val="44"/>
          <w:szCs w:val="44"/>
        </w:rPr>
        <w:t>第四部分</w:t>
      </w:r>
      <w:r>
        <w:rPr>
          <w:rFonts w:hint="default" w:ascii="Times New Roman" w:hAnsi="Times New Roman" w:eastAsia="仿宋_GB2312" w:cs="Times New Roman"/>
          <w:spacing w:val="24"/>
          <w:position w:val="-2"/>
          <w:sz w:val="44"/>
          <w:szCs w:val="44"/>
        </w:rPr>
        <w:t xml:space="preserve">   </w:t>
      </w:r>
      <w:r>
        <w:rPr>
          <w:rFonts w:hint="default" w:ascii="Times New Roman" w:hAnsi="Times New Roman" w:eastAsia="仿宋_GB2312" w:cs="Times New Roman"/>
          <w:spacing w:val="-4"/>
          <w:position w:val="-2"/>
          <w:sz w:val="44"/>
          <w:szCs w:val="44"/>
        </w:rPr>
        <w:t>名词解释</w:t>
      </w:r>
    </w:p>
    <w:p w14:paraId="3497951C">
      <w:pPr>
        <w:pStyle w:val="2"/>
        <w:spacing w:line="315" w:lineRule="auto"/>
        <w:rPr>
          <w:rFonts w:hint="default" w:ascii="Times New Roman" w:hAnsi="Times New Roman" w:eastAsia="仿宋_GB2312" w:cs="Times New Roman"/>
        </w:rPr>
      </w:pPr>
    </w:p>
    <w:p w14:paraId="7C307113">
      <w:pPr>
        <w:pStyle w:val="2"/>
        <w:spacing w:line="315" w:lineRule="auto"/>
        <w:rPr>
          <w:rFonts w:hint="default" w:ascii="Times New Roman" w:hAnsi="Times New Roman" w:eastAsia="仿宋_GB2312" w:cs="Times New Roman"/>
        </w:rPr>
      </w:pPr>
    </w:p>
    <w:p w14:paraId="4578906A">
      <w:pPr>
        <w:pStyle w:val="2"/>
        <w:spacing w:line="315" w:lineRule="auto"/>
        <w:rPr>
          <w:rFonts w:hint="default" w:ascii="Times New Roman" w:hAnsi="Times New Roman" w:eastAsia="仿宋_GB2312" w:cs="Times New Roman"/>
        </w:rPr>
      </w:pPr>
    </w:p>
    <w:p w14:paraId="548452E7">
      <w:pPr>
        <w:spacing w:before="100" w:line="297" w:lineRule="auto"/>
        <w:ind w:left="39" w:right="13" w:firstLine="650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pacing w:val="6"/>
          <w:sz w:val="31"/>
          <w:szCs w:val="31"/>
        </w:rPr>
        <w:t>一、财政拨款收入：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指单位从同级财政部门取得的财政</w:t>
      </w:r>
      <w:r>
        <w:rPr>
          <w:rFonts w:hint="default" w:ascii="Times New Roman" w:hAnsi="Times New Roman" w:eastAsia="仿宋_GB2312" w:cs="Times New Roman"/>
          <w:spacing w:val="16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2"/>
          <w:sz w:val="31"/>
          <w:szCs w:val="31"/>
        </w:rPr>
        <w:t>预算资金。</w:t>
      </w:r>
    </w:p>
    <w:p w14:paraId="3E7ADED3">
      <w:pPr>
        <w:spacing w:before="250" w:line="297" w:lineRule="auto"/>
        <w:ind w:left="30" w:right="13" w:firstLine="656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pacing w:val="6"/>
          <w:sz w:val="31"/>
          <w:szCs w:val="31"/>
        </w:rPr>
        <w:t>二、上级补助收入：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指从主管部门和上级单位取得的非</w:t>
      </w:r>
      <w:r>
        <w:rPr>
          <w:rFonts w:hint="default" w:ascii="Times New Roman" w:hAnsi="Times New Roman" w:eastAsia="仿宋_GB2312" w:cs="Times New Roman"/>
          <w:spacing w:val="18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1"/>
          <w:sz w:val="31"/>
          <w:szCs w:val="31"/>
        </w:rPr>
        <w:t>财政补助收入。</w:t>
      </w:r>
    </w:p>
    <w:p w14:paraId="28E60D2B">
      <w:pPr>
        <w:spacing w:before="249" w:line="298" w:lineRule="auto"/>
        <w:ind w:left="44" w:right="18" w:firstLine="649"/>
        <w:outlineLvl w:val="3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pacing w:val="4"/>
          <w:sz w:val="31"/>
          <w:szCs w:val="31"/>
        </w:rPr>
        <w:t>三、事业收入：指事业单位开展专业业务活动及辅助活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b/>
          <w:bCs/>
          <w:spacing w:val="-6"/>
          <w:sz w:val="31"/>
          <w:szCs w:val="31"/>
        </w:rPr>
        <w:t>动取得的收入。</w:t>
      </w:r>
    </w:p>
    <w:p w14:paraId="2126BB1C">
      <w:pPr>
        <w:spacing w:before="249" w:line="297" w:lineRule="auto"/>
        <w:ind w:left="44" w:right="16" w:firstLine="662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pacing w:val="6"/>
          <w:sz w:val="31"/>
          <w:szCs w:val="31"/>
        </w:rPr>
        <w:t>四、经营收入：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指事业单位在专业业务活动及其辅助活</w:t>
      </w:r>
      <w:r>
        <w:rPr>
          <w:rFonts w:hint="default" w:ascii="Times New Roman" w:hAnsi="Times New Roman" w:eastAsia="仿宋_GB2312" w:cs="Times New Roman"/>
          <w:spacing w:val="2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动之外开展非独立核算经营活动取得的收入。</w:t>
      </w:r>
    </w:p>
    <w:p w14:paraId="13F3479F">
      <w:pPr>
        <w:spacing w:before="249" w:line="298" w:lineRule="auto"/>
        <w:ind w:left="28" w:right="13" w:firstLine="653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pacing w:val="6"/>
          <w:sz w:val="31"/>
          <w:szCs w:val="31"/>
        </w:rPr>
        <w:t>五、附属单位上缴收入：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指事业单位附属独立核算单位</w:t>
      </w:r>
      <w:r>
        <w:rPr>
          <w:rFonts w:hint="default" w:ascii="Times New Roman" w:hAnsi="Times New Roman" w:eastAsia="仿宋_GB2312" w:cs="Times New Roman"/>
          <w:spacing w:val="18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按照有关规定上缴的收入。</w:t>
      </w:r>
    </w:p>
    <w:p w14:paraId="430D1A9C">
      <w:pPr>
        <w:spacing w:before="246" w:line="347" w:lineRule="auto"/>
        <w:ind w:left="29" w:right="14" w:firstLine="654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pacing w:val="7"/>
          <w:sz w:val="31"/>
          <w:szCs w:val="31"/>
        </w:rPr>
        <w:t>六、其他收入：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指除上述收入以外的各项收入。包括未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>纳入财政预算或财政专户管理的投资收益、银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行存款利息收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>入、租金收入、捐赠收入，现金盘盈收入、存货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盘盈收入、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>收回已核销应收及预付款项、无法偿付的应付及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预收款项，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>从省财政以外的同级单位取得的经费、从非省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财政取得的经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费，以及行政单位收到的财政专户管理资金等。</w:t>
      </w:r>
    </w:p>
    <w:p w14:paraId="2BA172AF">
      <w:pPr>
        <w:spacing w:before="252" w:line="322" w:lineRule="auto"/>
        <w:ind w:left="28" w:right="10" w:firstLine="649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pacing w:val="5"/>
          <w:sz w:val="31"/>
          <w:szCs w:val="31"/>
        </w:rPr>
        <w:t>七、使用非财政拨款结余（含专用结余</w:t>
      </w:r>
      <w:r>
        <w:rPr>
          <w:rFonts w:hint="default" w:ascii="Times New Roman" w:hAnsi="Times New Roman" w:eastAsia="仿宋_GB2312" w:cs="Times New Roman"/>
          <w:b/>
          <w:bCs/>
          <w:spacing w:val="16"/>
          <w:sz w:val="31"/>
          <w:szCs w:val="31"/>
        </w:rPr>
        <w:t>）：</w:t>
      </w:r>
      <w:r>
        <w:rPr>
          <w:rFonts w:hint="default" w:ascii="Times New Roman" w:hAnsi="Times New Roman" w:eastAsia="仿宋_GB2312" w:cs="Times New Roman"/>
          <w:spacing w:val="5"/>
          <w:sz w:val="31"/>
          <w:szCs w:val="31"/>
        </w:rPr>
        <w:t>指事业单位</w:t>
      </w:r>
      <w:r>
        <w:rPr>
          <w:rFonts w:hint="default" w:ascii="Times New Roman" w:hAnsi="Times New Roman" w:eastAsia="仿宋_GB2312" w:cs="Times New Roman"/>
          <w:spacing w:val="1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21"/>
          <w:sz w:val="31"/>
          <w:szCs w:val="31"/>
        </w:rPr>
        <w:t>按照预算管理要求使用非财政拨款结余弥补收支差额的金</w:t>
      </w:r>
      <w:r>
        <w:rPr>
          <w:rFonts w:hint="default" w:ascii="Times New Roman" w:hAnsi="Times New Roman" w:eastAsia="仿宋_GB2312" w:cs="Times New Roman"/>
          <w:spacing w:val="15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5"/>
          <w:sz w:val="31"/>
          <w:szCs w:val="31"/>
        </w:rPr>
        <w:t>额，以及使用专用结余安排支出的金额。</w:t>
      </w:r>
    </w:p>
    <w:p w14:paraId="08F2AE28">
      <w:pPr>
        <w:spacing w:before="249" w:line="220" w:lineRule="auto"/>
        <w:ind w:right="13"/>
        <w:jc w:val="right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pacing w:val="7"/>
          <w:sz w:val="31"/>
          <w:szCs w:val="31"/>
        </w:rPr>
        <w:t>八、年初结转和结余：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指单位以前年度尚未完成、结转</w:t>
      </w:r>
    </w:p>
    <w:p w14:paraId="662983FF">
      <w:pPr>
        <w:spacing w:line="220" w:lineRule="auto"/>
        <w:rPr>
          <w:rFonts w:hint="default" w:ascii="Times New Roman" w:hAnsi="Times New Roman" w:eastAsia="仿宋_GB2312" w:cs="Times New Roman"/>
          <w:sz w:val="31"/>
          <w:szCs w:val="31"/>
        </w:rPr>
        <w:sectPr>
          <w:footerReference r:id="rId15" w:type="default"/>
          <w:pgSz w:w="11907" w:h="16839"/>
          <w:pgMar w:top="1431" w:right="1785" w:bottom="1153" w:left="1785" w:header="0" w:footer="965" w:gutter="0"/>
          <w:cols w:space="720" w:num="1"/>
        </w:sectPr>
      </w:pPr>
    </w:p>
    <w:p w14:paraId="500C15F4">
      <w:pPr>
        <w:spacing w:before="160" w:line="357" w:lineRule="auto"/>
        <w:ind w:left="46" w:right="189" w:hanging="6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到本年按有关规定用途继续使用的资金，或项目已完成等产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3"/>
          <w:sz w:val="31"/>
          <w:szCs w:val="31"/>
        </w:rPr>
        <w:t>生的结余资金。</w:t>
      </w:r>
    </w:p>
    <w:p w14:paraId="7F717CA1">
      <w:pPr>
        <w:spacing w:before="48" w:line="355" w:lineRule="auto"/>
        <w:ind w:left="32" w:right="155" w:firstLine="641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pacing w:val="7"/>
          <w:sz w:val="31"/>
          <w:szCs w:val="31"/>
        </w:rPr>
        <w:t>九、结余分配：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指事业单位按照会计制度规定缴纳的所</w:t>
      </w:r>
      <w:r>
        <w:rPr>
          <w:rFonts w:hint="default" w:ascii="Times New Roman" w:hAnsi="Times New Roman" w:eastAsia="仿宋_GB2312" w:cs="Times New Roman"/>
          <w:spacing w:val="12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得税、提取的专用结余以及转入非财政拨款结余的金额等。</w:t>
      </w:r>
    </w:p>
    <w:p w14:paraId="36078E5B">
      <w:pPr>
        <w:spacing w:before="54" w:line="364" w:lineRule="auto"/>
        <w:ind w:left="29" w:right="153" w:firstLine="654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pacing w:val="7"/>
          <w:sz w:val="31"/>
          <w:szCs w:val="31"/>
        </w:rPr>
        <w:t>十、年末结转和结余：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指单位按有关规定结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转到下年或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21"/>
          <w:sz w:val="31"/>
          <w:szCs w:val="31"/>
        </w:rPr>
        <w:t>以后年度继续使用的资金，或项目已完成等产生的结余资</w:t>
      </w:r>
      <w:r>
        <w:rPr>
          <w:rFonts w:hint="default" w:ascii="Times New Roman" w:hAnsi="Times New Roman" w:eastAsia="仿宋_GB2312" w:cs="Times New Roman"/>
          <w:spacing w:val="10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16"/>
          <w:sz w:val="31"/>
          <w:szCs w:val="31"/>
        </w:rPr>
        <w:t>金。</w:t>
      </w:r>
    </w:p>
    <w:p w14:paraId="3D41E0EC">
      <w:pPr>
        <w:spacing w:before="39" w:line="297" w:lineRule="auto"/>
        <w:ind w:left="30" w:right="153" w:firstLine="653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pacing w:val="7"/>
          <w:sz w:val="31"/>
          <w:szCs w:val="31"/>
        </w:rPr>
        <w:t>十一、基本支出：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指为保障机构正常运转、完成日常工</w:t>
      </w:r>
      <w:r>
        <w:rPr>
          <w:rFonts w:hint="default" w:ascii="Times New Roman" w:hAnsi="Times New Roman" w:eastAsia="仿宋_GB2312" w:cs="Times New Roman"/>
          <w:spacing w:val="1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作任务而发生的人员支出和公用支出。</w:t>
      </w:r>
    </w:p>
    <w:p w14:paraId="57A65D69">
      <w:pPr>
        <w:spacing w:before="250" w:line="298" w:lineRule="auto"/>
        <w:ind w:left="33" w:right="154" w:firstLine="650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pacing w:val="7"/>
          <w:sz w:val="31"/>
          <w:szCs w:val="31"/>
        </w:rPr>
        <w:t>十二、项目支出：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指在基本支出之外为完成特定行政任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4"/>
          <w:sz w:val="31"/>
          <w:szCs w:val="31"/>
        </w:rPr>
        <w:t>务或事业发展目标所发生的支出。</w:t>
      </w:r>
    </w:p>
    <w:p w14:paraId="6BAB99A2">
      <w:pPr>
        <w:spacing w:before="249" w:line="297" w:lineRule="auto"/>
        <w:ind w:left="44" w:right="155" w:firstLine="639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pacing w:val="7"/>
          <w:sz w:val="31"/>
          <w:szCs w:val="31"/>
        </w:rPr>
        <w:t>十三、经营支出：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指事业单位在专业业务活动及其辅助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5"/>
          <w:sz w:val="31"/>
          <w:szCs w:val="31"/>
        </w:rPr>
        <w:t>活动之外开展非独立核算经营活动发生的支出。</w:t>
      </w:r>
    </w:p>
    <w:p w14:paraId="719D3962">
      <w:pPr>
        <w:spacing w:before="249" w:line="297" w:lineRule="auto"/>
        <w:ind w:left="40" w:right="153" w:firstLine="643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pacing w:val="7"/>
          <w:sz w:val="31"/>
          <w:szCs w:val="31"/>
        </w:rPr>
        <w:t>十四、上缴上级支出：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指事业单位按照有关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规定上缴上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2"/>
          <w:sz w:val="31"/>
          <w:szCs w:val="31"/>
        </w:rPr>
        <w:t>级单位的支出。</w:t>
      </w:r>
    </w:p>
    <w:p w14:paraId="6364353C">
      <w:pPr>
        <w:spacing w:before="251" w:line="297" w:lineRule="auto"/>
        <w:ind w:left="29" w:right="152" w:firstLine="654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pacing w:val="6"/>
          <w:sz w:val="31"/>
          <w:szCs w:val="31"/>
        </w:rPr>
        <w:t>十五、对附属单位补助支出：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指事业单位用财政补助收</w:t>
      </w:r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入之外的收入对附属单位补助发生的支出。</w:t>
      </w:r>
    </w:p>
    <w:p w14:paraId="34E86308">
      <w:pPr>
        <w:spacing w:before="252" w:line="342" w:lineRule="auto"/>
        <w:ind w:left="25" w:firstLine="658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pacing w:val="7"/>
          <w:sz w:val="31"/>
          <w:szCs w:val="31"/>
        </w:rPr>
        <w:t>十六、“三公”经费：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纳入省级财政预决算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管理的“三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 </w:t>
      </w:r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>公”经费，是指省级部门用财政拨款安排的因公出国（境）</w:t>
      </w:r>
      <w:r>
        <w:rPr>
          <w:rFonts w:hint="default" w:ascii="Times New Roman" w:hAnsi="Times New Roman" w:eastAsia="仿宋_GB2312" w:cs="Times New Roman"/>
          <w:spacing w:val="3"/>
          <w:sz w:val="31"/>
          <w:szCs w:val="31"/>
        </w:rPr>
        <w:t xml:space="preserve">  </w:t>
      </w:r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>费、公务用车购置及运行维护费和公务接待费。是党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政机关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 </w:t>
      </w:r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>维持运转或完成特定工作任务所开支的相关支出，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是政府行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 </w:t>
      </w:r>
      <w:r>
        <w:rPr>
          <w:rFonts w:hint="default" w:ascii="Times New Roman" w:hAnsi="Times New Roman" w:eastAsia="仿宋_GB2312" w:cs="Times New Roman"/>
          <w:spacing w:val="-12"/>
          <w:sz w:val="31"/>
          <w:szCs w:val="31"/>
        </w:rPr>
        <w:t>政开支的一部分。其中，</w:t>
      </w:r>
      <w:r>
        <w:rPr>
          <w:rFonts w:hint="default" w:ascii="Times New Roman" w:hAnsi="Times New Roman" w:eastAsia="仿宋_GB2312" w:cs="Times New Roman"/>
          <w:spacing w:val="-46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12"/>
          <w:sz w:val="31"/>
          <w:szCs w:val="31"/>
        </w:rPr>
        <w:t>因公出国（境）费反映公</w:t>
      </w:r>
      <w:r>
        <w:rPr>
          <w:rFonts w:hint="default" w:ascii="Times New Roman" w:hAnsi="Times New Roman" w:eastAsia="仿宋_GB2312" w:cs="Times New Roman"/>
          <w:spacing w:val="-13"/>
          <w:sz w:val="31"/>
          <w:szCs w:val="31"/>
        </w:rPr>
        <w:t>务出国（境）</w:t>
      </w:r>
    </w:p>
    <w:p w14:paraId="5534BB8E">
      <w:pPr>
        <w:spacing w:line="342" w:lineRule="auto"/>
        <w:rPr>
          <w:rFonts w:hint="default" w:ascii="Times New Roman" w:hAnsi="Times New Roman" w:eastAsia="仿宋_GB2312" w:cs="Times New Roman"/>
          <w:sz w:val="31"/>
          <w:szCs w:val="31"/>
        </w:rPr>
        <w:sectPr>
          <w:footerReference r:id="rId16" w:type="default"/>
          <w:pgSz w:w="11907" w:h="16839"/>
          <w:pgMar w:top="1431" w:right="1646" w:bottom="1153" w:left="1785" w:header="0" w:footer="965" w:gutter="0"/>
          <w:cols w:space="720" w:num="1"/>
        </w:sectPr>
      </w:pPr>
    </w:p>
    <w:p w14:paraId="51C27131">
      <w:pPr>
        <w:spacing w:before="155" w:line="366" w:lineRule="auto"/>
        <w:ind w:left="25" w:firstLine="28"/>
        <w:jc w:val="both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spacing w:val="-1"/>
          <w:sz w:val="31"/>
          <w:szCs w:val="31"/>
        </w:rPr>
        <w:t>的国际旅费、国外城市间交通费、住宿费、伙食费、培训费、</w:t>
      </w:r>
      <w:r>
        <w:rPr>
          <w:rFonts w:hint="default" w:ascii="Times New Roman" w:hAnsi="Times New Roman" w:eastAsia="仿宋_GB2312" w:cs="Times New Roman"/>
          <w:spacing w:val="16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>公杂费等支出；公务用车购置及运行费反映单位公务用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车车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>辆购置支出（含车辆购置税）及燃料费、维修费、过桥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过路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>费、保险费、安全奖励费等支出；公务接待费反映单位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按规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定开支的各类公务接待（含外宾接待）支出。</w:t>
      </w:r>
    </w:p>
    <w:p w14:paraId="32985CEB">
      <w:pPr>
        <w:spacing w:before="48" w:line="347" w:lineRule="auto"/>
        <w:ind w:left="26" w:right="93" w:firstLine="656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pacing w:val="7"/>
          <w:sz w:val="31"/>
          <w:szCs w:val="31"/>
        </w:rPr>
        <w:t>十七、机关运行经费：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指为保障行政单位（包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括参照公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>务员法管理的事业单位）运行用于购买货物和服务的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各项资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金，包括办公费、</w:t>
      </w:r>
      <w:r>
        <w:rPr>
          <w:rFonts w:hint="default" w:ascii="Times New Roman" w:hAnsi="Times New Roman" w:eastAsia="仿宋_GB2312" w:cs="Times New Roman"/>
          <w:spacing w:val="-82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印刷费、邮电费、差旅费、会议费、福利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>费、日常维修费、专用材料及一般设备购置费、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办公用房水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9"/>
          <w:sz w:val="31"/>
          <w:szCs w:val="31"/>
        </w:rPr>
        <w:t>电费、办公用房取暖费、办公用房物业管理费、</w:t>
      </w:r>
      <w:r>
        <w:rPr>
          <w:rFonts w:hint="default" w:ascii="Times New Roman" w:hAnsi="Times New Roman" w:eastAsia="仿宋_GB2312" w:cs="Times New Roman"/>
          <w:spacing w:val="8"/>
          <w:sz w:val="31"/>
          <w:szCs w:val="31"/>
        </w:rPr>
        <w:t>公务用车运</w:t>
      </w:r>
      <w:r>
        <w:rPr>
          <w:rFonts w:hint="default" w:ascii="Times New Roman" w:hAnsi="Times New Roman" w:eastAsia="仿宋_GB2312" w:cs="Times New Roman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3"/>
          <w:sz w:val="31"/>
          <w:szCs w:val="31"/>
        </w:rPr>
        <w:t>行维护费以及其他费用。</w:t>
      </w:r>
    </w:p>
    <w:p w14:paraId="47600C46">
      <w:pPr>
        <w:spacing w:before="250" w:line="322" w:lineRule="auto"/>
        <w:ind w:left="43" w:right="93" w:firstLine="640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pacing w:val="6"/>
          <w:sz w:val="31"/>
          <w:szCs w:val="31"/>
        </w:rPr>
        <w:t>十八、******</w:t>
      </w:r>
      <w:r>
        <w:rPr>
          <w:rFonts w:hint="default" w:ascii="Times New Roman" w:hAnsi="Times New Roman" w:eastAsia="仿宋_GB2312" w:cs="Times New Roman"/>
          <w:spacing w:val="6"/>
          <w:sz w:val="31"/>
          <w:szCs w:val="31"/>
        </w:rPr>
        <w:t>（对部门使用的所有“项”级政府收支分</w:t>
      </w:r>
      <w:r>
        <w:rPr>
          <w:rFonts w:hint="default" w:ascii="Times New Roman" w:hAnsi="Times New Roman" w:eastAsia="仿宋_GB2312" w:cs="Times New Roman"/>
          <w:spacing w:val="5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7"/>
          <w:sz w:val="31"/>
          <w:szCs w:val="31"/>
        </w:rPr>
        <w:t>类科目，参照《2023年政府收支分类科目》中的科目说明和</w:t>
      </w:r>
      <w:r>
        <w:rPr>
          <w:rFonts w:hint="default" w:ascii="Times New Roman" w:hAnsi="Times New Roman" w:eastAsia="仿宋_GB2312" w:cs="Times New Roman"/>
          <w:spacing w:val="18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5"/>
          <w:sz w:val="31"/>
          <w:szCs w:val="31"/>
        </w:rPr>
        <w:t>中央部门决算公开内容进行说明</w:t>
      </w:r>
      <w:r>
        <w:rPr>
          <w:rFonts w:hint="default" w:ascii="Times New Roman" w:hAnsi="Times New Roman" w:eastAsia="仿宋_GB2312" w:cs="Times New Roman"/>
          <w:spacing w:val="19"/>
          <w:sz w:val="31"/>
          <w:szCs w:val="31"/>
        </w:rPr>
        <w:t>）：</w:t>
      </w:r>
    </w:p>
    <w:p w14:paraId="652AF0EE">
      <w:pPr>
        <w:spacing w:before="250" w:line="224" w:lineRule="auto"/>
        <w:ind w:left="683"/>
        <w:rPr>
          <w:rFonts w:hint="default" w:ascii="Times New Roman" w:hAnsi="Times New Roman" w:eastAsia="仿宋_GB2312" w:cs="Times New Roman"/>
          <w:sz w:val="31"/>
          <w:szCs w:val="31"/>
        </w:rPr>
      </w:pPr>
      <w:r>
        <w:rPr>
          <w:rFonts w:hint="default" w:ascii="Times New Roman" w:hAnsi="Times New Roman" w:eastAsia="仿宋_GB2312" w:cs="Times New Roman"/>
          <w:b/>
          <w:bCs/>
          <w:spacing w:val="-8"/>
          <w:sz w:val="31"/>
          <w:szCs w:val="31"/>
        </w:rPr>
        <w:t>十九、</w:t>
      </w:r>
      <w:r>
        <w:rPr>
          <w:rFonts w:hint="default" w:ascii="Times New Roman" w:hAnsi="Times New Roman" w:eastAsia="仿宋_GB2312" w:cs="Times New Roman"/>
          <w:spacing w:val="-83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8"/>
          <w:sz w:val="31"/>
          <w:szCs w:val="31"/>
        </w:rPr>
        <w:t>…</w:t>
      </w:r>
      <w:r>
        <w:rPr>
          <w:rFonts w:hint="default" w:ascii="Times New Roman" w:hAnsi="Times New Roman" w:eastAsia="仿宋_GB2312" w:cs="Times New Roman"/>
          <w:spacing w:val="-103"/>
          <w:sz w:val="31"/>
          <w:szCs w:val="31"/>
        </w:rPr>
        <w:t xml:space="preserve"> </w:t>
      </w:r>
      <w:r>
        <w:rPr>
          <w:rFonts w:hint="default" w:ascii="Times New Roman" w:hAnsi="Times New Roman" w:eastAsia="仿宋_GB2312" w:cs="Times New Roman"/>
          <w:spacing w:val="-8"/>
          <w:sz w:val="31"/>
          <w:szCs w:val="31"/>
        </w:rPr>
        <w:t>…（同上）</w:t>
      </w:r>
    </w:p>
    <w:p w14:paraId="0549807A">
      <w:pPr>
        <w:spacing w:before="249" w:line="355" w:lineRule="auto"/>
        <w:ind w:left="26" w:right="98" w:firstLine="648"/>
        <w:rPr>
          <w:rFonts w:hint="default" w:ascii="Times New Roman" w:hAnsi="Times New Roman" w:eastAsia="仿宋_GB2312" w:cs="Times New Roman"/>
          <w:color w:val="FF0000"/>
          <w:spacing w:val="5"/>
          <w:sz w:val="31"/>
          <w:szCs w:val="31"/>
        </w:rPr>
      </w:pPr>
    </w:p>
    <w:sectPr>
      <w:footerReference r:id="rId17" w:type="default"/>
      <w:pgSz w:w="11907" w:h="16839"/>
      <w:pgMar w:top="1431" w:right="1705" w:bottom="1153" w:left="1785" w:header="0" w:footer="965" w:gutter="0"/>
      <w:cols w:space="720" w:num="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楷体_GB2312">
    <w:altName w:val="楷体"/>
    <w:panose1 w:val="00000000000000000000"/>
    <w:charset w:val="00"/>
    <w:family w:val="auto"/>
    <w:pitch w:val="default"/>
    <w:sig w:usb0="00000000" w:usb1="00000000" w:usb2="00000000" w:usb3="00000000" w:csb0="00040001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仿宋_GB2312">
    <w:altName w:val="仿宋"/>
    <w:panose1 w:val="02010609030101010101"/>
    <w:charset w:val="86"/>
    <w:family w:val="auto"/>
    <w:pitch w:val="default"/>
    <w:sig w:usb0="00000000" w:usb1="00000000" w:usb2="00000000" w:usb3="00000000" w:csb0="00040000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54B96E4B">
    <w:pPr>
      <w:spacing w:line="177" w:lineRule="auto"/>
      <w:ind w:left="4138"/>
      <w:rPr>
        <w:rFonts w:ascii="Times New Roman" w:hAnsi="Times New Roman" w:eastAsia="Times New Roman" w:cs="Times New Roman"/>
        <w:sz w:val="21"/>
        <w:szCs w:val="21"/>
      </w:rPr>
    </w:pPr>
    <w:r>
      <w:rPr>
        <w:rFonts w:ascii="Times New Roman" w:hAnsi="Times New Roman" w:eastAsia="Times New Roman" w:cs="Times New Roman"/>
        <w:sz w:val="21"/>
        <w:szCs w:val="21"/>
      </w:rPr>
      <w:t>1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0691B391">
    <w:pPr>
      <w:spacing w:line="177" w:lineRule="auto"/>
      <w:ind w:left="4118"/>
      <w:rPr>
        <w:rFonts w:ascii="Times New Roman" w:hAnsi="Times New Roman" w:eastAsia="Times New Roman" w:cs="Times New Roman"/>
        <w:sz w:val="21"/>
        <w:szCs w:val="21"/>
      </w:rPr>
    </w:pPr>
    <w:r>
      <w:rPr>
        <w:rFonts w:ascii="Times New Roman" w:hAnsi="Times New Roman" w:eastAsia="Times New Roman" w:cs="Times New Roman"/>
        <w:sz w:val="21"/>
        <w:szCs w:val="21"/>
      </w:rPr>
      <w:t>2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65085AE7">
    <w:pPr>
      <w:spacing w:line="176" w:lineRule="auto"/>
      <w:ind w:left="4122"/>
      <w:rPr>
        <w:rFonts w:ascii="Times New Roman" w:hAnsi="Times New Roman" w:eastAsia="Times New Roman" w:cs="Times New Roman"/>
        <w:sz w:val="21"/>
        <w:szCs w:val="21"/>
      </w:rPr>
    </w:pPr>
    <w:r>
      <w:rPr>
        <w:rFonts w:ascii="Times New Roman" w:hAnsi="Times New Roman" w:eastAsia="Times New Roman" w:cs="Times New Roman"/>
        <w:sz w:val="21"/>
        <w:szCs w:val="21"/>
      </w:rPr>
      <w:t>3</w: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350A72E3">
    <w:pPr>
      <w:spacing w:line="177" w:lineRule="auto"/>
      <w:ind w:left="4088"/>
      <w:rPr>
        <w:rFonts w:ascii="Times New Roman" w:hAnsi="Times New Roman" w:eastAsia="Times New Roman" w:cs="Times New Roman"/>
        <w:sz w:val="21"/>
        <w:szCs w:val="21"/>
      </w:rPr>
    </w:pPr>
    <w:r>
      <w:rPr>
        <w:rFonts w:ascii="Times New Roman" w:hAnsi="Times New Roman" w:eastAsia="Times New Roman" w:cs="Times New Roman"/>
        <w:spacing w:val="-6"/>
        <w:sz w:val="21"/>
        <w:szCs w:val="21"/>
      </w:rPr>
      <w:t>14</w:t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6293F0B9">
    <w:pPr>
      <w:spacing w:line="176" w:lineRule="auto"/>
      <w:ind w:left="4088"/>
      <w:rPr>
        <w:rFonts w:ascii="Times New Roman" w:hAnsi="Times New Roman" w:eastAsia="Times New Roman" w:cs="Times New Roman"/>
        <w:sz w:val="21"/>
        <w:szCs w:val="21"/>
      </w:rPr>
    </w:pPr>
    <w:r>
      <w:rPr>
        <w:rFonts w:ascii="Times New Roman" w:hAnsi="Times New Roman" w:eastAsia="Times New Roman" w:cs="Times New Roman"/>
        <w:spacing w:val="-6"/>
        <w:sz w:val="21"/>
        <w:szCs w:val="21"/>
      </w:rPr>
      <w:t>18</w:t>
    </w: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31126CF4">
    <w:pPr>
      <w:spacing w:line="176" w:lineRule="auto"/>
      <w:ind w:left="4068"/>
      <w:rPr>
        <w:rFonts w:ascii="Times New Roman" w:hAnsi="Times New Roman" w:eastAsia="Times New Roman" w:cs="Times New Roman"/>
        <w:sz w:val="21"/>
        <w:szCs w:val="21"/>
      </w:rPr>
    </w:pPr>
    <w:r>
      <w:rPr>
        <w:rFonts w:ascii="Times New Roman" w:hAnsi="Times New Roman" w:eastAsia="Times New Roman" w:cs="Times New Roman"/>
        <w:spacing w:val="-1"/>
        <w:sz w:val="21"/>
        <w:szCs w:val="21"/>
      </w:rPr>
      <w:t>20</w:t>
    </w: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793D945C">
    <w:pPr>
      <w:spacing w:line="177" w:lineRule="auto"/>
      <w:ind w:left="4068"/>
      <w:rPr>
        <w:rFonts w:ascii="Times New Roman" w:hAnsi="Times New Roman" w:eastAsia="Times New Roman" w:cs="Times New Roman"/>
        <w:sz w:val="21"/>
        <w:szCs w:val="21"/>
      </w:rPr>
    </w:pPr>
    <w:r>
      <w:rPr>
        <w:rFonts w:ascii="Times New Roman" w:hAnsi="Times New Roman" w:eastAsia="Times New Roman" w:cs="Times New Roman"/>
        <w:spacing w:val="-1"/>
        <w:sz w:val="21"/>
        <w:szCs w:val="21"/>
      </w:rPr>
      <w:t>21</w:t>
    </w: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1698B88A">
    <w:pPr>
      <w:spacing w:line="177" w:lineRule="auto"/>
      <w:ind w:left="4068"/>
      <w:rPr>
        <w:rFonts w:ascii="Times New Roman" w:hAnsi="Times New Roman" w:eastAsia="Times New Roman" w:cs="Times New Roman"/>
        <w:sz w:val="21"/>
        <w:szCs w:val="21"/>
      </w:rPr>
    </w:pPr>
    <w:r>
      <w:rPr>
        <w:rFonts w:ascii="Times New Roman" w:hAnsi="Times New Roman" w:eastAsia="Times New Roman" w:cs="Times New Roman"/>
        <w:spacing w:val="-1"/>
        <w:sz w:val="21"/>
        <w:szCs w:val="21"/>
      </w:rPr>
      <w:t>22</w:t>
    </w: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2F15A468">
    <w:pPr>
      <w:spacing w:line="176" w:lineRule="auto"/>
      <w:ind w:left="4068"/>
      <w:rPr>
        <w:rFonts w:ascii="Times New Roman" w:hAnsi="Times New Roman" w:eastAsia="Times New Roman" w:cs="Times New Roman"/>
        <w:sz w:val="21"/>
        <w:szCs w:val="21"/>
      </w:rPr>
    </w:pPr>
    <w:r>
      <w:rPr>
        <w:rFonts w:ascii="Times New Roman" w:hAnsi="Times New Roman" w:eastAsia="Times New Roman" w:cs="Times New Roman"/>
        <w:spacing w:val="-1"/>
        <w:sz w:val="21"/>
        <w:szCs w:val="21"/>
      </w:rPr>
      <w:t>23</w:t>
    </w: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6E3D8113">
    <w:pPr>
      <w:spacing w:line="177" w:lineRule="auto"/>
      <w:ind w:left="4068"/>
      <w:rPr>
        <w:rFonts w:ascii="Times New Roman" w:hAnsi="Times New Roman" w:eastAsia="Times New Roman" w:cs="Times New Roman"/>
        <w:sz w:val="21"/>
        <w:szCs w:val="21"/>
      </w:rPr>
    </w:pPr>
    <w:r>
      <w:rPr>
        <w:rFonts w:ascii="Times New Roman" w:hAnsi="Times New Roman" w:eastAsia="Times New Roman" w:cs="Times New Roman"/>
        <w:spacing w:val="-1"/>
        <w:sz w:val="21"/>
        <w:szCs w:val="21"/>
      </w:rPr>
      <w:t>24</w:t>
    </w:r>
  </w:p>
</w:ftr>
</file>

<file path=word/footer1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4F9DFA95">
    <w:pPr>
      <w:spacing w:line="176" w:lineRule="auto"/>
      <w:ind w:left="4068"/>
      <w:rPr>
        <w:rFonts w:ascii="Times New Roman" w:hAnsi="Times New Roman" w:eastAsia="Times New Roman" w:cs="Times New Roman"/>
        <w:sz w:val="21"/>
        <w:szCs w:val="21"/>
      </w:rPr>
    </w:pPr>
    <w:r>
      <w:rPr>
        <w:rFonts w:ascii="Times New Roman" w:hAnsi="Times New Roman" w:eastAsia="Times New Roman" w:cs="Times New Roman"/>
        <w:spacing w:val="-1"/>
        <w:sz w:val="21"/>
        <w:szCs w:val="21"/>
      </w:rPr>
      <w:t>25</w:t>
    </w:r>
  </w:p>
</w:ftr>
</file>

<file path=word/footer1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3E0A2DAA">
    <w:pPr>
      <w:spacing w:line="176" w:lineRule="auto"/>
      <w:ind w:left="4068"/>
      <w:rPr>
        <w:rFonts w:ascii="Times New Roman" w:hAnsi="Times New Roman" w:eastAsia="Times New Roman" w:cs="Times New Roman"/>
        <w:sz w:val="21"/>
        <w:szCs w:val="21"/>
      </w:rPr>
    </w:pPr>
    <w:r>
      <w:rPr>
        <w:rFonts w:ascii="Times New Roman" w:hAnsi="Times New Roman" w:eastAsia="Times New Roman" w:cs="Times New Roman"/>
        <w:spacing w:val="-1"/>
        <w:sz w:val="21"/>
        <w:szCs w:val="21"/>
      </w:rPr>
      <w:t>26</w:t>
    </w:r>
  </w:p>
</w:ftr>
</file>

<file path=word/footer1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35BF4985">
    <w:pPr>
      <w:spacing w:line="176" w:lineRule="auto"/>
      <w:ind w:left="4068"/>
      <w:rPr>
        <w:rFonts w:ascii="Times New Roman" w:hAnsi="Times New Roman" w:eastAsia="Times New Roman" w:cs="Times New Roman"/>
        <w:sz w:val="21"/>
        <w:szCs w:val="21"/>
      </w:rPr>
    </w:pPr>
    <w:r>
      <w:rPr>
        <w:rFonts w:ascii="Times New Roman" w:hAnsi="Times New Roman" w:eastAsia="Times New Roman" w:cs="Times New Roman"/>
        <w:spacing w:val="-1"/>
        <w:sz w:val="21"/>
        <w:szCs w:val="21"/>
      </w:rPr>
      <w:t>27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240" w:lineRule="auto"/>
      </w:pPr>
      <w:r>
        <w:separator/>
      </w:r>
    </w:p>
  </w:footnote>
  <w:footnote w:type="continuationSeparator" w:id="1">
    <w:p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A71A326"/>
    <w:multiLevelType w:val="singleLevel"/>
    <w:tmpl w:val="3A71A326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displayBackgroundShape w:val="1"/>
  <w:bordersDoNotSurroundHeader w:val="0"/>
  <w:bordersDoNotSurroundFooter w:val="0"/>
  <w:documentProtection w:enforcement="0"/>
  <w:displayHorizontalDrawingGridEvery w:val="1"/>
  <w:displayVerticalDrawingGridEvery w:val="1"/>
  <w:noPunctuationKerning w:val="1"/>
  <w:characterSpacingControl w:val="doNotCompress"/>
  <w:footnotePr>
    <w:footnote w:id="0"/>
    <w:footnote w:id="1"/>
  </w:footnotePr>
  <w:endnotePr>
    <w:endnote w:id="0"/>
    <w:endnote w:id="1"/>
  </w:endnotePr>
  <w:compat>
    <w:spaceForUL/>
    <w:ulTrailSpace/>
    <w:doNotExpandShiftReturn/>
    <w:doNotWrapTextWithPunct/>
    <w:doNotUseEastAsianBreakRules/>
    <w:useFELayout/>
    <w:doNotUseIndentAsNumberingTabStop/>
    <w:compatSetting w:name="compatibilityMode" w:uri="http://schemas.microsoft.com/office/word" w:val="14"/>
  </w:compat>
  <w:docVars>
    <w:docVar w:name="commondata" w:val="eyJoZGlkIjoiMjlhODY2NDQ5MThkODEzY2UwNDE0Mzk4YzBmMTk1NmMifQ=="/>
  </w:docVars>
  <w:rsids>
    <w:rsidRoot w:val="00000000"/>
    <w:rsid w:val="0ABD2EA9"/>
    <w:rsid w:val="11C82954"/>
    <w:rsid w:val="163C7E24"/>
    <w:rsid w:val="16E22E2F"/>
    <w:rsid w:val="1A4B52AF"/>
    <w:rsid w:val="20F02524"/>
    <w:rsid w:val="22461847"/>
    <w:rsid w:val="2324183F"/>
    <w:rsid w:val="2F114FB5"/>
    <w:rsid w:val="34AA3776"/>
    <w:rsid w:val="35384DBC"/>
    <w:rsid w:val="41126768"/>
    <w:rsid w:val="4B6B4C49"/>
    <w:rsid w:val="5610333E"/>
    <w:rsid w:val="6DCD5D1E"/>
    <w:rsid w:val="6F815AE6"/>
    <w:rsid w:val="73411F15"/>
    <w:rsid w:val="781E71C5"/>
    <w:rsid w:val="7D956C94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qFormat="1"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semiHidden="0" w:name="Default Paragraph Font"/>
    <w:lsdException w:qFormat="1" w:unhideWhenUsed="0" w:uiPriority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semiHidden/>
    <w:qFormat/>
    <w:uiPriority w:val="0"/>
    <w:pPr>
      <w:kinsoku w:val="0"/>
      <w:autoSpaceDE w:val="0"/>
      <w:autoSpaceDN w:val="0"/>
      <w:adjustRightInd w:val="0"/>
      <w:snapToGrid w:val="0"/>
      <w:spacing w:line="240" w:lineRule="auto"/>
      <w:jc w:val="left"/>
      <w:textAlignment w:val="baseline"/>
    </w:pPr>
    <w:rPr>
      <w:rFonts w:ascii="Arial" w:hAnsi="Arial" w:eastAsia="Arial" w:cs="Arial"/>
      <w:snapToGrid w:val="0"/>
      <w:color w:val="000000"/>
      <w:kern w:val="0"/>
      <w:sz w:val="21"/>
      <w:szCs w:val="21"/>
      <w:lang w:val="en-US" w:eastAsia="en-US" w:bidi="ar-SA"/>
    </w:rPr>
  </w:style>
  <w:style w:type="character" w:default="1" w:styleId="5">
    <w:name w:val="Default Paragraph Font"/>
    <w:link w:val="6"/>
    <w:qFormat/>
    <w:uiPriority w:val="0"/>
    <w:rPr>
      <w:rFonts w:eastAsia="宋体"/>
      <w:sz w:val="21"/>
      <w:szCs w:val="20"/>
    </w:rPr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semiHidden/>
    <w:qFormat/>
    <w:uiPriority w:val="0"/>
    <w:rPr>
      <w:rFonts w:ascii="Arial" w:hAnsi="Arial" w:eastAsia="Arial" w:cs="Arial"/>
      <w:sz w:val="21"/>
      <w:szCs w:val="21"/>
      <w:lang w:val="en-US" w:eastAsia="en-US" w:bidi="ar-SA"/>
    </w:rPr>
  </w:style>
  <w:style w:type="paragraph" w:styleId="3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customStyle="1" w:styleId="6">
    <w:name w:val=" Char"/>
    <w:basedOn w:val="1"/>
    <w:link w:val="5"/>
    <w:qFormat/>
    <w:uiPriority w:val="0"/>
    <w:pPr>
      <w:widowControl/>
      <w:spacing w:after="160" w:line="240" w:lineRule="exact"/>
      <w:jc w:val="left"/>
    </w:pPr>
    <w:rPr>
      <w:rFonts w:eastAsia="宋体"/>
      <w:sz w:val="21"/>
      <w:szCs w:val="20"/>
    </w:rPr>
  </w:style>
  <w:style w:type="character" w:styleId="7">
    <w:name w:val="page number"/>
    <w:basedOn w:val="5"/>
    <w:qFormat/>
    <w:uiPriority w:val="0"/>
  </w:style>
  <w:style w:type="table" w:customStyle="1" w:styleId="8">
    <w:name w:val="Table Normal"/>
    <w:semiHidden/>
    <w:unhideWhenUsed/>
    <w:qFormat/>
    <w:uiPriority w:val="0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9">
    <w:name w:val="20"/>
    <w:basedOn w:val="5"/>
    <w:qFormat/>
    <w:uiPriority w:val="0"/>
    <w:rPr>
      <w:rFonts w:hint="default" w:ascii="Times New Roman" w:eastAsia="楷体_GB2312" w:cs="楷体_GB2312"/>
      <w:sz w:val="21"/>
      <w:szCs w:val="21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5.xml"/><Relationship Id="rId8" Type="http://schemas.openxmlformats.org/officeDocument/2006/relationships/footer" Target="footer4.xml"/><Relationship Id="rId7" Type="http://schemas.openxmlformats.org/officeDocument/2006/relationships/footer" Target="footer3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endnotes" Target="endnotes.xml"/><Relationship Id="rId35" Type="http://schemas.openxmlformats.org/officeDocument/2006/relationships/fontTable" Target="fontTable.xml"/><Relationship Id="rId34" Type="http://schemas.openxmlformats.org/officeDocument/2006/relationships/numbering" Target="numbering.xml"/><Relationship Id="rId33" Type="http://schemas.openxmlformats.org/officeDocument/2006/relationships/chart" Target="charts/chart6.xml"/><Relationship Id="rId32" Type="http://schemas.openxmlformats.org/officeDocument/2006/relationships/chart" Target="charts/chart5.xml"/><Relationship Id="rId31" Type="http://schemas.openxmlformats.org/officeDocument/2006/relationships/chart" Target="charts/chart4.xml"/><Relationship Id="rId30" Type="http://schemas.openxmlformats.org/officeDocument/2006/relationships/chart" Target="charts/chart3.xml"/><Relationship Id="rId3" Type="http://schemas.openxmlformats.org/officeDocument/2006/relationships/footnotes" Target="footnotes.xml"/><Relationship Id="rId29" Type="http://schemas.openxmlformats.org/officeDocument/2006/relationships/chart" Target="charts/chart2.xml"/><Relationship Id="rId28" Type="http://schemas.openxmlformats.org/officeDocument/2006/relationships/chart" Target="charts/chart1.xml"/><Relationship Id="rId27" Type="http://schemas.openxmlformats.org/officeDocument/2006/relationships/image" Target="media/image9.jpeg"/><Relationship Id="rId26" Type="http://schemas.openxmlformats.org/officeDocument/2006/relationships/image" Target="media/image8.jpeg"/><Relationship Id="rId25" Type="http://schemas.openxmlformats.org/officeDocument/2006/relationships/image" Target="media/image7.jpeg"/><Relationship Id="rId24" Type="http://schemas.openxmlformats.org/officeDocument/2006/relationships/image" Target="media/image6.jpeg"/><Relationship Id="rId23" Type="http://schemas.openxmlformats.org/officeDocument/2006/relationships/image" Target="media/image5.jpeg"/><Relationship Id="rId22" Type="http://schemas.openxmlformats.org/officeDocument/2006/relationships/image" Target="media/image4.jpeg"/><Relationship Id="rId21" Type="http://schemas.openxmlformats.org/officeDocument/2006/relationships/image" Target="media/image3.jpeg"/><Relationship Id="rId20" Type="http://schemas.openxmlformats.org/officeDocument/2006/relationships/image" Target="media/image2.jpeg"/><Relationship Id="rId2" Type="http://schemas.openxmlformats.org/officeDocument/2006/relationships/settings" Target="settings.xml"/><Relationship Id="rId19" Type="http://schemas.openxmlformats.org/officeDocument/2006/relationships/image" Target="media/image1.jpeg"/><Relationship Id="rId18" Type="http://schemas.openxmlformats.org/officeDocument/2006/relationships/theme" Target="theme/theme1.xml"/><Relationship Id="rId17" Type="http://schemas.openxmlformats.org/officeDocument/2006/relationships/footer" Target="footer13.xml"/><Relationship Id="rId16" Type="http://schemas.openxmlformats.org/officeDocument/2006/relationships/footer" Target="footer12.xml"/><Relationship Id="rId15" Type="http://schemas.openxmlformats.org/officeDocument/2006/relationships/footer" Target="footer11.xml"/><Relationship Id="rId14" Type="http://schemas.openxmlformats.org/officeDocument/2006/relationships/footer" Target="footer10.xml"/><Relationship Id="rId13" Type="http://schemas.openxmlformats.org/officeDocument/2006/relationships/footer" Target="footer9.xml"/><Relationship Id="rId12" Type="http://schemas.openxmlformats.org/officeDocument/2006/relationships/footer" Target="footer8.xml"/><Relationship Id="rId11" Type="http://schemas.openxmlformats.org/officeDocument/2006/relationships/footer" Target="footer7.xml"/><Relationship Id="rId10" Type="http://schemas.openxmlformats.org/officeDocument/2006/relationships/footer" Target="footer6.xml"/><Relationship Id="rId1" Type="http://schemas.openxmlformats.org/officeDocument/2006/relationships/styles" Target="styles.xml"/></Relationships>
</file>

<file path=word/charts/_rels/chart1.xml.rels><?xml version="1.0" encoding="UTF-8" standalone="yes"?>
<Relationships xmlns="http://schemas.openxmlformats.org/package/2006/relationships"><Relationship Id="rId6" Type="http://schemas.microsoft.com/office/2011/relationships/chartColorStyle" Target="colors1.xml"/><Relationship Id="rId5" Type="http://schemas.microsoft.com/office/2011/relationships/chartStyle" Target="style1.xml"/><Relationship Id="rId4" Type="http://schemas.openxmlformats.org/officeDocument/2006/relationships/image" Target="../media/image12.png"/><Relationship Id="rId3" Type="http://schemas.openxmlformats.org/officeDocument/2006/relationships/image" Target="../media/image11.png"/><Relationship Id="rId2" Type="http://schemas.openxmlformats.org/officeDocument/2006/relationships/image" Target="../media/image10.png"/><Relationship Id="rId1" Type="http://schemas.openxmlformats.org/officeDocument/2006/relationships/package" Target="../embeddings/Workbook1.xlsx"/></Relationships>
</file>

<file path=word/charts/_rels/chart2.xml.rels><?xml version="1.0" encoding="UTF-8" standalone="yes"?>
<Relationships xmlns="http://schemas.openxmlformats.org/package/2006/relationships"><Relationship Id="rId3" Type="http://schemas.microsoft.com/office/2011/relationships/chartColorStyle" Target="colors3.xml"/><Relationship Id="rId2" Type="http://schemas.microsoft.com/office/2011/relationships/chartStyle" Target="style3.xml"/><Relationship Id="rId1" Type="http://schemas.openxmlformats.org/officeDocument/2006/relationships/package" Target="../embeddings/Workbook3.xlsx"/></Relationships>
</file>

<file path=word/charts/_rels/chart3.xml.rels><?xml version="1.0" encoding="UTF-8" standalone="yes"?>
<Relationships xmlns="http://schemas.openxmlformats.org/package/2006/relationships"><Relationship Id="rId3" Type="http://schemas.microsoft.com/office/2011/relationships/chartColorStyle" Target="colors2.xml"/><Relationship Id="rId2" Type="http://schemas.microsoft.com/office/2011/relationships/chartStyle" Target="style2.xml"/><Relationship Id="rId1" Type="http://schemas.openxmlformats.org/officeDocument/2006/relationships/package" Target="../embeddings/Workbook2.xlsx"/></Relationships>
</file>

<file path=word/charts/_rels/chart4.xml.rels><?xml version="1.0" encoding="UTF-8" standalone="yes"?>
<Relationships xmlns="http://schemas.openxmlformats.org/package/2006/relationships"><Relationship Id="rId6" Type="http://schemas.microsoft.com/office/2011/relationships/chartColorStyle" Target="colors4.xml"/><Relationship Id="rId5" Type="http://schemas.microsoft.com/office/2011/relationships/chartStyle" Target="style4.xml"/><Relationship Id="rId4" Type="http://schemas.openxmlformats.org/officeDocument/2006/relationships/image" Target="../media/image12.png"/><Relationship Id="rId3" Type="http://schemas.openxmlformats.org/officeDocument/2006/relationships/image" Target="../media/image11.png"/><Relationship Id="rId2" Type="http://schemas.openxmlformats.org/officeDocument/2006/relationships/image" Target="../media/image10.png"/><Relationship Id="rId1" Type="http://schemas.openxmlformats.org/officeDocument/2006/relationships/package" Target="../embeddings/Workbook4.xlsx"/></Relationships>
</file>

<file path=word/charts/_rels/chart5.xml.rels><?xml version="1.0" encoding="UTF-8" standalone="yes"?>
<Relationships xmlns="http://schemas.openxmlformats.org/package/2006/relationships"><Relationship Id="rId6" Type="http://schemas.microsoft.com/office/2011/relationships/chartColorStyle" Target="colors6.xml"/><Relationship Id="rId5" Type="http://schemas.microsoft.com/office/2011/relationships/chartStyle" Target="style6.xml"/><Relationship Id="rId4" Type="http://schemas.openxmlformats.org/officeDocument/2006/relationships/image" Target="../media/image12.png"/><Relationship Id="rId3" Type="http://schemas.openxmlformats.org/officeDocument/2006/relationships/image" Target="../media/image11.png"/><Relationship Id="rId2" Type="http://schemas.openxmlformats.org/officeDocument/2006/relationships/image" Target="../media/image10.png"/><Relationship Id="rId1" Type="http://schemas.openxmlformats.org/officeDocument/2006/relationships/package" Target="../embeddings/Workbook6.xlsx"/></Relationships>
</file>

<file path=word/charts/_rels/chart6.xml.rels><?xml version="1.0" encoding="UTF-8" standalone="yes"?>
<Relationships xmlns="http://schemas.openxmlformats.org/package/2006/relationships"><Relationship Id="rId3" Type="http://schemas.microsoft.com/office/2011/relationships/chartColorStyle" Target="colors5.xml"/><Relationship Id="rId2" Type="http://schemas.microsoft.com/office/2011/relationships/chartStyle" Target="style5.xml"/><Relationship Id="rId1" Type="http://schemas.openxmlformats.org/officeDocument/2006/relationships/package" Target="../embeddings/Workbook5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zh-CN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0" vertOverflow="ellipsis" vert="horz" wrap="square" anchor="ctr" anchorCtr="1" forceAA="0"/>
          <a:lstStyle/>
          <a:p>
            <a:pPr defTabSz="914400">
              <a:defRPr lang="zh-CN"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微软雅黑" panose="020B0503020204020204" pitchFamily="34" charset="-122"/>
                <a:ea typeface="微软雅黑" panose="020B0503020204020204" pitchFamily="34" charset="-122"/>
                <a:cs typeface="微软雅黑" panose="020B0503020204020204" pitchFamily="34" charset="-122"/>
                <a:sym typeface="微软雅黑" panose="020B0503020204020204" pitchFamily="34" charset="-122"/>
              </a:defRPr>
            </a:pPr>
            <a:r>
              <a:t>收入支出决算总体情况</a:t>
            </a:r>
          </a:p>
        </c:rich>
      </c:tx>
      <c:layout/>
      <c:overlay val="0"/>
      <c:spPr>
        <a:noFill/>
        <a:ln>
          <a:noFill/>
        </a:ln>
        <a:effectLst/>
      </c:spPr>
    </c:title>
    <c:autoTitleDeleted val="0"/>
    <c:plotArea>
      <c:layout>
        <c:manualLayout>
          <c:layoutTarget val="inner"/>
          <c:xMode val="edge"/>
          <c:yMode val="edge"/>
          <c:x val="0.0466532802084583"/>
          <c:y val="0.295408062930187"/>
          <c:w val="0.902816839154127"/>
          <c:h val="0.592022756005057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Sheet1!$B$1</c:f>
              <c:strCache>
                <c:ptCount val="1"/>
                <c:pt idx="0">
                  <c:v>2023 年度收、支总计</c:v>
                </c:pt>
              </c:strCache>
            </c:strRef>
          </c:tx>
          <c:spPr>
            <a:blipFill dpi="0" rotWithShape="1">
              <a:blip xmlns:r="http://schemas.openxmlformats.org/officeDocument/2006/relationships" r:embed="rId2"/>
              <a:srcRect/>
              <a:stretch>
                <a:fillRect/>
              </a:stretch>
            </a:blipFill>
            <a:ln>
              <a:noFill/>
            </a:ln>
            <a:effectLst/>
          </c:spPr>
          <c:invertIfNegative val="0"/>
          <c:dLbls>
            <c:numFmt formatCode="General" sourceLinked="1"/>
            <c:spPr>
              <a:noFill/>
              <a:ln>
                <a:noFill/>
              </a:ln>
              <a:effectLst/>
            </c:spPr>
            <c:txPr>
              <a:bodyPr rot="0" spcFirstLastPara="0" vertOverflow="ellipsis" vert="horz" wrap="square" lIns="38100" tIns="19050" rIns="38100" bIns="19050" anchor="ctr" anchorCtr="1" forceAA="0">
                <a:spAutoFit/>
              </a:bodyPr>
              <a:lstStyle/>
              <a:p>
                <a:pPr>
                  <a:defRPr lang="zh-CN" sz="900" b="0" i="0" u="none" strike="noStrike" kern="1200" baseline="0">
                    <a:solidFill>
                      <a:srgbClr val="56C0CD"/>
                    </a:solidFill>
                    <a:latin typeface="微软雅黑" panose="020B0503020204020204" pitchFamily="34" charset="-122"/>
                    <a:ea typeface="微软雅黑" panose="020B0503020204020204" pitchFamily="34" charset="-122"/>
                    <a:cs typeface="微软雅黑" panose="020B0503020204020204" pitchFamily="34" charset="-122"/>
                    <a:sym typeface="微软雅黑" panose="020B0503020204020204" pitchFamily="34" charset="-122"/>
                  </a:defRPr>
                </a:pPr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Sheet1!$A$2</c:f>
              <c:numCache>
                <c:formatCode>General</c:formatCode>
                <c:ptCount val="1"/>
              </c:numCache>
            </c:numRef>
          </c:cat>
          <c:val>
            <c:numRef>
              <c:f>Sheet1!$B$2</c:f>
              <c:numCache>
                <c:formatCode>General</c:formatCode>
                <c:ptCount val="1"/>
                <c:pt idx="0">
                  <c:v>675.61</c:v>
                </c:pt>
              </c:numCache>
            </c:numRef>
          </c:val>
        </c:ser>
        <c:ser>
          <c:idx val="1"/>
          <c:order val="1"/>
          <c:tx>
            <c:strRef>
              <c:f>Sheet1!$C$1</c:f>
              <c:strCache>
                <c:ptCount val="1"/>
                <c:pt idx="0">
                  <c:v>2022年度收、支总计</c:v>
                </c:pt>
              </c:strCache>
            </c:strRef>
          </c:tx>
          <c:spPr>
            <a:blipFill dpi="0" rotWithShape="1">
              <a:blip xmlns:r="http://schemas.openxmlformats.org/officeDocument/2006/relationships" r:embed="rId3"/>
              <a:srcRect/>
              <a:stretch>
                <a:fillRect/>
              </a:stretch>
            </a:blipFill>
            <a:ln>
              <a:noFill/>
            </a:ln>
            <a:effectLst/>
          </c:spPr>
          <c:invertIfNegative val="0"/>
          <c:dLbls>
            <c:numFmt formatCode="General" sourceLinked="1"/>
            <c:spPr>
              <a:noFill/>
              <a:ln>
                <a:noFill/>
              </a:ln>
              <a:effectLst/>
            </c:spPr>
            <c:txPr>
              <a:bodyPr rot="0" spcFirstLastPara="0" vertOverflow="ellipsis" vert="horz" wrap="square" lIns="38100" tIns="19050" rIns="38100" bIns="19050" anchor="ctr" anchorCtr="1" forceAA="0">
                <a:spAutoFit/>
              </a:bodyPr>
              <a:lstStyle/>
              <a:p>
                <a:pPr>
                  <a:defRPr lang="zh-CN" sz="900" b="0" i="0" u="none" strike="noStrike" kern="1200" baseline="0">
                    <a:solidFill>
                      <a:srgbClr val="60BC8A"/>
                    </a:solidFill>
                    <a:latin typeface="微软雅黑" panose="020B0503020204020204" pitchFamily="34" charset="-122"/>
                    <a:ea typeface="微软雅黑" panose="020B0503020204020204" pitchFamily="34" charset="-122"/>
                    <a:cs typeface="微软雅黑" panose="020B0503020204020204" pitchFamily="34" charset="-122"/>
                    <a:sym typeface="微软雅黑" panose="020B0503020204020204" pitchFamily="34" charset="-122"/>
                  </a:defRPr>
                </a:pPr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Sheet1!$A$2</c:f>
              <c:numCache>
                <c:formatCode>General</c:formatCode>
                <c:ptCount val="1"/>
              </c:numCache>
            </c:numRef>
          </c:cat>
          <c:val>
            <c:numRef>
              <c:f>Sheet1!$C$2</c:f>
              <c:numCache>
                <c:formatCode>General</c:formatCode>
                <c:ptCount val="1"/>
                <c:pt idx="0">
                  <c:v>699.74</c:v>
                </c:pt>
              </c:numCache>
            </c:numRef>
          </c:val>
        </c:ser>
        <c:ser>
          <c:idx val="2"/>
          <c:order val="2"/>
          <c:tx>
            <c:strRef>
              <c:f>Sheet1!$D$1</c:f>
              <c:strCache>
                <c:ptCount val="1"/>
                <c:pt idx="0">
                  <c:v>收、支总计各减少</c:v>
                </c:pt>
              </c:strCache>
            </c:strRef>
          </c:tx>
          <c:spPr>
            <a:blipFill dpi="0" rotWithShape="1">
              <a:blip xmlns:r="http://schemas.openxmlformats.org/officeDocument/2006/relationships" r:embed="rId4"/>
              <a:srcRect/>
              <a:stretch>
                <a:fillRect/>
              </a:stretch>
            </a:blipFill>
            <a:ln>
              <a:noFill/>
            </a:ln>
            <a:effectLst/>
          </c:spPr>
          <c:invertIfNegative val="0"/>
          <c:dLbls>
            <c:numFmt formatCode="General" sourceLinked="1"/>
            <c:spPr>
              <a:noFill/>
              <a:ln>
                <a:noFill/>
              </a:ln>
              <a:effectLst/>
            </c:spPr>
            <c:txPr>
              <a:bodyPr rot="0" spcFirstLastPara="0" vertOverflow="ellipsis" vert="horz" wrap="square" lIns="38100" tIns="19050" rIns="38100" bIns="19050" anchor="ctr" anchorCtr="1" forceAA="0">
                <a:spAutoFit/>
              </a:bodyPr>
              <a:lstStyle/>
              <a:p>
                <a:pPr>
                  <a:defRPr lang="zh-CN" sz="900" b="0" i="0" u="none" strike="noStrike" kern="1200" baseline="0">
                    <a:solidFill>
                      <a:srgbClr val="74BC3B"/>
                    </a:solidFill>
                    <a:latin typeface="微软雅黑" panose="020B0503020204020204" pitchFamily="34" charset="-122"/>
                    <a:ea typeface="微软雅黑" panose="020B0503020204020204" pitchFamily="34" charset="-122"/>
                    <a:cs typeface="微软雅黑" panose="020B0503020204020204" pitchFamily="34" charset="-122"/>
                    <a:sym typeface="微软雅黑" panose="020B0503020204020204" pitchFamily="34" charset="-122"/>
                  </a:defRPr>
                </a:pPr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Sheet1!$A$2</c:f>
              <c:numCache>
                <c:formatCode>General</c:formatCode>
                <c:ptCount val="1"/>
              </c:numCache>
            </c:numRef>
          </c:cat>
          <c:val>
            <c:numRef>
              <c:f>Sheet1!$D$2</c:f>
              <c:numCache>
                <c:formatCode>General</c:formatCode>
                <c:ptCount val="1"/>
                <c:pt idx="0">
                  <c:v>24.13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411"/>
        <c:overlap val="-26"/>
        <c:axId val="995531126"/>
        <c:axId val="771779696"/>
      </c:barChart>
      <c:catAx>
        <c:axId val="995531126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34925" cap="flat" cmpd="sng" algn="ctr">
            <a:noFill/>
            <a:prstDash val="solid"/>
            <a:round/>
          </a:ln>
          <a:effectLst/>
        </c:spPr>
        <c:txPr>
          <a:bodyPr rot="-60000000" spcFirstLastPara="0" vertOverflow="ellipsis" vert="horz" wrap="square" anchor="ctr" anchorCtr="1" forceAA="0"/>
          <a:lstStyle/>
          <a:p>
            <a:pPr>
              <a:defRPr lang="zh-CN"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微软雅黑" panose="020B0503020204020204" pitchFamily="34" charset="-122"/>
                <a:ea typeface="微软雅黑" panose="020B0503020204020204" pitchFamily="34" charset="-122"/>
                <a:cs typeface="微软雅黑" panose="020B0503020204020204" pitchFamily="34" charset="-122"/>
                <a:sym typeface="微软雅黑" panose="020B0503020204020204" pitchFamily="34" charset="-122"/>
              </a:defRPr>
            </a:pPr>
          </a:p>
        </c:txPr>
        <c:crossAx val="771779696"/>
        <c:crosses val="autoZero"/>
        <c:auto val="1"/>
        <c:lblAlgn val="ctr"/>
        <c:lblOffset val="0"/>
        <c:noMultiLvlLbl val="0"/>
      </c:catAx>
      <c:valAx>
        <c:axId val="771779696"/>
        <c:scaling>
          <c:orientation val="minMax"/>
        </c:scaling>
        <c:delete val="1"/>
        <c:axPos val="l"/>
        <c:numFmt formatCode="General" sourceLinked="1"/>
        <c:majorTickMark val="none"/>
        <c:minorTickMark val="none"/>
        <c:tickLblPos val="nextTo"/>
        <c:txPr>
          <a:bodyPr rot="-60000000" spcFirstLastPara="0" vertOverflow="ellipsis" vert="horz" wrap="square" anchor="ctr" anchorCtr="1"/>
          <a:lstStyle/>
          <a:p>
            <a:pPr>
              <a:defRPr lang="zh-CN"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微软雅黑" panose="020B0503020204020204" pitchFamily="34" charset="-122"/>
                <a:ea typeface="微软雅黑" panose="020B0503020204020204" pitchFamily="34" charset="-122"/>
                <a:cs typeface="微软雅黑" panose="020B0503020204020204" pitchFamily="34" charset="-122"/>
                <a:sym typeface="微软雅黑" panose="020B0503020204020204" pitchFamily="34" charset="-122"/>
              </a:defRPr>
            </a:pPr>
          </a:p>
        </c:txPr>
        <c:crossAx val="995531126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t"/>
      <c:layout/>
      <c:overlay val="0"/>
      <c:spPr>
        <a:noFill/>
        <a:ln>
          <a:noFill/>
        </a:ln>
        <a:effectLst/>
      </c:spPr>
      <c:txPr>
        <a:bodyPr rot="0" spcFirstLastPara="0" vertOverflow="ellipsis" vert="horz" wrap="square" anchor="ctr" anchorCtr="1" forceAA="0"/>
        <a:lstStyle/>
        <a:p>
          <a:pPr>
            <a:defRPr lang="zh-CN"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微软雅黑" panose="020B0503020204020204" pitchFamily="34" charset="-122"/>
              <a:ea typeface="微软雅黑" panose="020B0503020204020204" pitchFamily="34" charset="-122"/>
              <a:cs typeface="微软雅黑" panose="020B0503020204020204" pitchFamily="34" charset="-122"/>
              <a:sym typeface="微软雅黑" panose="020B0503020204020204" pitchFamily="34" charset="-122"/>
            </a:defRPr>
          </a:pPr>
        </a:p>
      </c:txPr>
    </c:legend>
    <c:plotVisOnly val="1"/>
    <c:dispBlanksAs val="gap"/>
    <c:showDLblsOverMax val="0"/>
    <c:extLst>
      <c:ext uri="{0b15fc19-7d7d-44ad-8c2d-2c3a37ce22c3}">
        <chartProps xmlns="https://web.wps.cn/et/2018/main" chartId="{4c5ff911-e52b-42e4-b533-96365c8789f1}"/>
      </c:ext>
    </c:extLst>
  </c:chart>
  <c:spPr>
    <a:solidFill>
      <a:schemeClr val="bg1"/>
    </a:solidFill>
    <a:ln w="9525" cap="flat" cmpd="sng" algn="ctr">
      <a:solidFill>
        <a:schemeClr val="tx1">
          <a:lumMod val="50000"/>
          <a:lumOff val="50000"/>
          <a:alpha val="25000"/>
        </a:schemeClr>
      </a:solidFill>
      <a:round/>
    </a:ln>
    <a:effectLst>
      <a:outerShdw blurRad="63500" dist="37357" dir="2700000" sx="0" sy="0" rotWithShape="0">
        <a:scrgbClr r="0" g="0" b="0"/>
      </a:outerShdw>
    </a:effectLst>
  </c:spPr>
  <c:txPr>
    <a:bodyPr/>
    <a:lstStyle/>
    <a:p>
      <a:pPr>
        <a:defRPr lang="zh-CN">
          <a:latin typeface="微软雅黑" panose="020B0503020204020204" pitchFamily="34" charset="-122"/>
          <a:ea typeface="微软雅黑" panose="020B0503020204020204" pitchFamily="34" charset="-122"/>
          <a:cs typeface="微软雅黑" panose="020B0503020204020204" pitchFamily="34" charset="-122"/>
          <a:sym typeface="微软雅黑" panose="020B0503020204020204" pitchFamily="34" charset="-122"/>
        </a:defRPr>
      </a:pPr>
    </a:p>
  </c:txPr>
  <c:externalData r:id="rId1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zh-CN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0" vertOverflow="ellipsis" vert="horz" wrap="square" anchor="ctr" anchorCtr="1" forceAA="0"/>
          <a:lstStyle/>
          <a:p>
            <a:pPr defTabSz="914400">
              <a:defRPr lang="zh-CN" sz="1400" b="0" i="0" u="none" strike="noStrike" kern="1200" spc="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  <a:r>
              <a:t>收入决算情况</a:t>
            </a:r>
          </a:p>
        </c:rich>
      </c:tx>
      <c:layout/>
      <c:overlay val="0"/>
      <c:spPr>
        <a:noFill/>
        <a:ln>
          <a:noFill/>
        </a:ln>
        <a:effectLst/>
      </c:spPr>
    </c:title>
    <c:autoTitleDeleted val="0"/>
    <c:plotArea>
      <c:layout/>
      <c:pieChart>
        <c:varyColors val="1"/>
        <c:ser>
          <c:idx val="0"/>
          <c:order val="0"/>
          <c:tx>
            <c:strRef>
              <c:f>Sheet1!$B$1</c:f>
              <c:strCache>
                <c:ptCount val="1"/>
                <c:pt idx="0">
                  <c:v>销售额</c:v>
                </c:pt>
              </c:strCache>
            </c:strRef>
          </c:tx>
          <c:spPr>
            <a:ln w="15875">
              <a:solidFill>
                <a:schemeClr val="bg1"/>
              </a:solidFill>
            </a:ln>
            <a:effectLst>
              <a:outerShdw blurRad="50800" dist="38100" dir="2700000" algn="tl" rotWithShape="0">
                <a:prstClr val="black">
                  <a:alpha val="40000"/>
                </a:prstClr>
              </a:outerShdw>
            </a:effectLst>
            <a:sp3d contourW="15875"/>
          </c:spPr>
          <c:explosion val="0"/>
          <c:dPt>
            <c:idx val="0"/>
            <c:bubble3D val="0"/>
            <c:spPr>
              <a:gradFill>
                <a:gsLst>
                  <a:gs pos="0">
                    <a:schemeClr val="accent6">
                      <a:lumMod val="60000"/>
                      <a:lumOff val="40000"/>
                    </a:schemeClr>
                  </a:gs>
                  <a:gs pos="83000">
                    <a:schemeClr val="accent6"/>
                  </a:gs>
                </a:gsLst>
                <a:lin ang="2700000"/>
              </a:gradFill>
              <a:ln w="15875">
                <a:solidFill>
                  <a:schemeClr val="bg1"/>
                </a:solidFill>
              </a:ln>
              <a:effectLst>
                <a:outerShdw blurRad="50800" dist="38100" dir="2700000" algn="tl" rotWithShape="0">
                  <a:schemeClr val="accent6">
                    <a:lumMod val="50000"/>
                    <a:alpha val="40000"/>
                  </a:schemeClr>
                </a:outerShdw>
              </a:effectLst>
              <a:sp3d contourW="15875"/>
            </c:spPr>
          </c:dPt>
          <c:dPt>
            <c:idx val="1"/>
            <c:bubble3D val="0"/>
            <c:spPr>
              <a:gradFill>
                <a:gsLst>
                  <a:gs pos="0">
                    <a:schemeClr val="accent3">
                      <a:lumMod val="60000"/>
                      <a:lumOff val="40000"/>
                    </a:schemeClr>
                  </a:gs>
                  <a:gs pos="83000">
                    <a:schemeClr val="accent3"/>
                  </a:gs>
                </a:gsLst>
                <a:lin ang="2700000"/>
              </a:gradFill>
              <a:ln w="15875">
                <a:solidFill>
                  <a:schemeClr val="bg1"/>
                </a:solidFill>
              </a:ln>
              <a:effectLst>
                <a:outerShdw blurRad="50800" dist="38100" dir="2700000" algn="tl" rotWithShape="0">
                  <a:schemeClr val="accent2">
                    <a:lumMod val="50000"/>
                    <a:alpha val="40000"/>
                  </a:schemeClr>
                </a:outerShdw>
              </a:effectLst>
              <a:sp3d contourW="15875"/>
            </c:spPr>
          </c:dPt>
          <c:dPt>
            <c:idx val="2"/>
            <c:bubble3D val="0"/>
            <c:spPr>
              <a:gradFill>
                <a:gsLst>
                  <a:gs pos="0">
                    <a:schemeClr val="accent5">
                      <a:lumMod val="60000"/>
                      <a:lumOff val="40000"/>
                    </a:schemeClr>
                  </a:gs>
                  <a:gs pos="83000">
                    <a:schemeClr val="accent5"/>
                  </a:gs>
                </a:gsLst>
                <a:lin ang="2700000"/>
              </a:gradFill>
              <a:ln w="19050">
                <a:solidFill>
                  <a:schemeClr val="bg1"/>
                </a:solidFill>
              </a:ln>
              <a:effectLst>
                <a:outerShdw blurRad="50800" dist="38100" dir="2700000" algn="tl" rotWithShape="0">
                  <a:schemeClr val="accent5">
                    <a:lumMod val="50000"/>
                    <a:alpha val="40000"/>
                  </a:schemeClr>
                </a:outerShdw>
              </a:effectLst>
              <a:sp3d contourW="19050"/>
            </c:spPr>
          </c:dPt>
          <c:dLbls>
            <c:spPr>
              <a:noFill/>
              <a:ln>
                <a:noFill/>
              </a:ln>
              <a:effectLst/>
            </c:spPr>
            <c:txPr>
              <a:bodyPr rot="0" spcFirstLastPara="0" vertOverflow="ellipsis" vert="horz" wrap="square" lIns="38100" tIns="19050" rIns="38100" bIns="19050" anchor="ctr" anchorCtr="1"/>
              <a:lstStyle/>
              <a:p>
                <a:pPr>
                  <a:defRPr lang="zh-CN"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</a:p>
            </c:txPr>
            <c:dLblPos val="bestFit"/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Sheet1!$A$2:$A$4</c:f>
              <c:strCache>
                <c:ptCount val="3"/>
                <c:pt idx="0">
                  <c:v>本年收入合计</c:v>
                </c:pt>
                <c:pt idx="1">
                  <c:v>财政拨款收入</c:v>
                </c:pt>
                <c:pt idx="2">
                  <c:v>比 上年增加</c:v>
                </c:pt>
              </c:strCache>
            </c:strRef>
          </c:cat>
          <c:val>
            <c:numRef>
              <c:f>Sheet1!$B$2:$B$4</c:f>
              <c:numCache>
                <c:formatCode>General</c:formatCode>
                <c:ptCount val="3"/>
                <c:pt idx="0">
                  <c:v>676.61</c:v>
                </c:pt>
                <c:pt idx="1">
                  <c:v>676.56</c:v>
                </c:pt>
                <c:pt idx="2">
                  <c:v>0.26</c:v>
                </c:pt>
              </c:numCache>
            </c:numRef>
          </c:val>
        </c:ser>
        <c:dLbls>
          <c:showLegendKey val="0"/>
          <c:showVal val="1"/>
          <c:showCatName val="0"/>
          <c:showSerName val="0"/>
          <c:showPercent val="0"/>
          <c:showBubbleSize val="0"/>
          <c:showLeaderLines val="1"/>
        </c:dLbls>
        <c:firstSliceAng val="36"/>
      </c:pieChart>
      <c:spPr>
        <a:noFill/>
        <a:ln>
          <a:noFill/>
        </a:ln>
        <a:effectLst/>
      </c:spPr>
    </c:plotArea>
    <c:legend>
      <c:legendPos val="r"/>
      <c:layout/>
      <c:overlay val="0"/>
      <c:spPr>
        <a:noFill/>
        <a:ln>
          <a:noFill/>
        </a:ln>
        <a:effectLst/>
      </c:spPr>
      <c:txPr>
        <a:bodyPr rot="0" spcFirstLastPara="0" vertOverflow="ellipsis" vert="horz" wrap="square" anchor="ctr" anchorCtr="1" forceAA="0"/>
        <a:lstStyle/>
        <a:p>
          <a:pPr>
            <a:defRPr lang="zh-CN" sz="900" b="0" i="0" u="none" strike="noStrike" kern="1200" baseline="0">
              <a:solidFill>
                <a:schemeClr val="tx1">
                  <a:lumMod val="50000"/>
                  <a:lumOff val="50000"/>
                </a:schemeClr>
              </a:solidFill>
              <a:latin typeface="+mn-lt"/>
              <a:ea typeface="+mn-ea"/>
              <a:cs typeface="+mn-cs"/>
            </a:defRPr>
          </a:pPr>
        </a:p>
      </c:txPr>
    </c:legend>
    <c:plotVisOnly val="1"/>
    <c:dispBlanksAs val="gap"/>
    <c:showDLblsOverMax val="0"/>
    <c:extLst>
      <c:ext uri="{0b15fc19-7d7d-44ad-8c2d-2c3a37ce22c3}">
        <chartProps xmlns="https://web.wps.cn/et/2018/main" chartId="{19ea5acb-7181-477f-a069-69a0ef8769b3}"/>
      </c:ext>
    </c:extLst>
  </c:chart>
  <c:spPr>
    <a:solidFill>
      <a:schemeClr val="bg1"/>
    </a:solidFill>
    <a:ln w="9525" cap="flat" cmpd="sng" algn="ctr">
      <a:solidFill>
        <a:schemeClr val="bg1">
          <a:lumMod val="85000"/>
        </a:schemeClr>
      </a:solidFill>
      <a:round/>
    </a:ln>
    <a:effectLst>
      <a:outerShdw blurRad="63500" dist="37357" dir="2700000" sx="0" sy="0" rotWithShape="0">
        <a:scrgbClr r="0" g="0" b="0"/>
      </a:outerShdw>
    </a:effectLst>
  </c:spPr>
  <c:txPr>
    <a:bodyPr/>
    <a:lstStyle/>
    <a:p>
      <a:pPr>
        <a:defRPr lang="zh-CN"/>
      </a:pPr>
    </a:p>
  </c:txPr>
  <c:externalData r:id="rId1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zh-CN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0" vertOverflow="ellipsis" vert="horz" wrap="square" anchor="ctr" anchorCtr="1" forceAA="0"/>
          <a:lstStyle/>
          <a:p>
            <a:pPr defTabSz="914400">
              <a:defRPr lang="zh-CN" sz="1400" b="0" i="0" u="none" strike="noStrike" kern="1200" spc="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  <a:r>
              <a:t>支出决算情况</a:t>
            </a:r>
          </a:p>
        </c:rich>
      </c:tx>
      <c:layout/>
      <c:overlay val="0"/>
      <c:spPr>
        <a:noFill/>
        <a:ln>
          <a:noFill/>
        </a:ln>
        <a:effectLst/>
      </c:spPr>
    </c:title>
    <c:autoTitleDeleted val="0"/>
    <c:plotArea>
      <c:layout/>
      <c:pieChart>
        <c:varyColors val="1"/>
        <c:ser>
          <c:idx val="0"/>
          <c:order val="0"/>
          <c:tx>
            <c:strRef>
              <c:f>Sheet1!$B$1</c:f>
              <c:strCache>
                <c:ptCount val="1"/>
                <c:pt idx="0">
                  <c:v>销售额</c:v>
                </c:pt>
              </c:strCache>
            </c:strRef>
          </c:tx>
          <c:spPr>
            <a:ln w="15875">
              <a:solidFill>
                <a:schemeClr val="bg1"/>
              </a:solidFill>
            </a:ln>
            <a:effectLst>
              <a:outerShdw blurRad="50800" dist="38100" dir="2700000" algn="tl" rotWithShape="0">
                <a:prstClr val="black">
                  <a:alpha val="40000"/>
                </a:prstClr>
              </a:outerShdw>
            </a:effectLst>
            <a:sp3d contourW="15875"/>
          </c:spPr>
          <c:explosion val="0"/>
          <c:dPt>
            <c:idx val="0"/>
            <c:bubble3D val="0"/>
            <c:spPr>
              <a:gradFill>
                <a:gsLst>
                  <a:gs pos="0">
                    <a:schemeClr val="accent6">
                      <a:lumMod val="60000"/>
                      <a:lumOff val="40000"/>
                    </a:schemeClr>
                  </a:gs>
                  <a:gs pos="83000">
                    <a:schemeClr val="accent6"/>
                  </a:gs>
                </a:gsLst>
                <a:lin ang="2700000"/>
              </a:gradFill>
              <a:ln w="15875">
                <a:solidFill>
                  <a:schemeClr val="bg1"/>
                </a:solidFill>
              </a:ln>
              <a:effectLst>
                <a:outerShdw blurRad="50800" dist="38100" dir="2700000" algn="tl" rotWithShape="0">
                  <a:schemeClr val="accent6">
                    <a:lumMod val="50000"/>
                    <a:alpha val="40000"/>
                  </a:schemeClr>
                </a:outerShdw>
              </a:effectLst>
              <a:sp3d contourW="15875"/>
            </c:spPr>
          </c:dPt>
          <c:dPt>
            <c:idx val="1"/>
            <c:bubble3D val="0"/>
            <c:spPr>
              <a:gradFill>
                <a:gsLst>
                  <a:gs pos="0">
                    <a:schemeClr val="accent3">
                      <a:lumMod val="60000"/>
                      <a:lumOff val="40000"/>
                    </a:schemeClr>
                  </a:gs>
                  <a:gs pos="83000">
                    <a:schemeClr val="accent3"/>
                  </a:gs>
                </a:gsLst>
                <a:lin ang="2700000"/>
              </a:gradFill>
              <a:ln w="15875">
                <a:solidFill>
                  <a:schemeClr val="bg1"/>
                </a:solidFill>
              </a:ln>
              <a:effectLst>
                <a:outerShdw blurRad="50800" dist="38100" dir="2700000" algn="tl" rotWithShape="0">
                  <a:schemeClr val="accent2">
                    <a:lumMod val="50000"/>
                    <a:alpha val="40000"/>
                  </a:schemeClr>
                </a:outerShdw>
              </a:effectLst>
              <a:sp3d contourW="15875"/>
            </c:spPr>
          </c:dPt>
          <c:dPt>
            <c:idx val="2"/>
            <c:bubble3D val="0"/>
            <c:spPr>
              <a:gradFill>
                <a:gsLst>
                  <a:gs pos="0">
                    <a:schemeClr val="accent5">
                      <a:lumMod val="60000"/>
                      <a:lumOff val="40000"/>
                    </a:schemeClr>
                  </a:gs>
                  <a:gs pos="83000">
                    <a:schemeClr val="accent5"/>
                  </a:gs>
                </a:gsLst>
                <a:lin ang="2700000"/>
              </a:gradFill>
              <a:ln w="19050">
                <a:solidFill>
                  <a:schemeClr val="bg1"/>
                </a:solidFill>
              </a:ln>
              <a:effectLst>
                <a:outerShdw blurRad="50800" dist="38100" dir="2700000" algn="tl" rotWithShape="0">
                  <a:schemeClr val="accent5">
                    <a:lumMod val="50000"/>
                    <a:alpha val="40000"/>
                  </a:schemeClr>
                </a:outerShdw>
              </a:effectLst>
              <a:sp3d contourW="19050"/>
            </c:spPr>
          </c:dPt>
          <c:dLbls>
            <c:spPr>
              <a:noFill/>
              <a:ln>
                <a:noFill/>
              </a:ln>
              <a:effectLst/>
            </c:spPr>
            <c:txPr>
              <a:bodyPr rot="0" spcFirstLastPara="0" vertOverflow="ellipsis" vert="horz" wrap="square" lIns="38100" tIns="19050" rIns="38100" bIns="19050" anchor="ctr" anchorCtr="1"/>
              <a:lstStyle/>
              <a:p>
                <a:pPr>
                  <a:defRPr lang="zh-CN"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</a:p>
            </c:txPr>
            <c:dLblPos val="bestFit"/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Sheet1!$A$2:$A$4</c:f>
              <c:strCache>
                <c:ptCount val="3"/>
                <c:pt idx="0">
                  <c:v>本年支出合计</c:v>
                </c:pt>
                <c:pt idx="1">
                  <c:v>基本支出</c:v>
                </c:pt>
                <c:pt idx="2">
                  <c:v>比上年减少</c:v>
                </c:pt>
              </c:strCache>
            </c:strRef>
          </c:cat>
          <c:val>
            <c:numRef>
              <c:f>Sheet1!$B$2:$B$4</c:f>
              <c:numCache>
                <c:formatCode>General</c:formatCode>
                <c:ptCount val="3"/>
                <c:pt idx="0">
                  <c:v>672.52</c:v>
                </c:pt>
                <c:pt idx="1">
                  <c:v>672.52</c:v>
                </c:pt>
                <c:pt idx="2">
                  <c:v>27.22</c:v>
                </c:pt>
              </c:numCache>
            </c:numRef>
          </c:val>
        </c:ser>
        <c:dLbls>
          <c:showLegendKey val="0"/>
          <c:showVal val="1"/>
          <c:showCatName val="0"/>
          <c:showSerName val="0"/>
          <c:showPercent val="0"/>
          <c:showBubbleSize val="0"/>
          <c:showLeaderLines val="1"/>
        </c:dLbls>
        <c:firstSliceAng val="36"/>
      </c:pieChart>
      <c:spPr>
        <a:noFill/>
        <a:ln>
          <a:noFill/>
        </a:ln>
        <a:effectLst/>
      </c:spPr>
    </c:plotArea>
    <c:legend>
      <c:legendPos val="r"/>
      <c:layout/>
      <c:overlay val="0"/>
      <c:spPr>
        <a:noFill/>
        <a:ln>
          <a:noFill/>
        </a:ln>
        <a:effectLst/>
      </c:spPr>
      <c:txPr>
        <a:bodyPr rot="0" spcFirstLastPara="0" vertOverflow="ellipsis" vert="horz" wrap="square" anchor="ctr" anchorCtr="1" forceAA="0"/>
        <a:lstStyle/>
        <a:p>
          <a:pPr>
            <a:defRPr lang="zh-CN" sz="900" b="0" i="0" u="none" strike="noStrike" kern="1200" baseline="0">
              <a:solidFill>
                <a:schemeClr val="tx1">
                  <a:lumMod val="50000"/>
                  <a:lumOff val="50000"/>
                </a:schemeClr>
              </a:solidFill>
              <a:latin typeface="+mn-lt"/>
              <a:ea typeface="+mn-ea"/>
              <a:cs typeface="+mn-cs"/>
            </a:defRPr>
          </a:pPr>
        </a:p>
      </c:txPr>
    </c:legend>
    <c:plotVisOnly val="1"/>
    <c:dispBlanksAs val="gap"/>
    <c:showDLblsOverMax val="0"/>
    <c:extLst>
      <c:ext uri="{0b15fc19-7d7d-44ad-8c2d-2c3a37ce22c3}">
        <chartProps xmlns="https://web.wps.cn/et/2018/main" chartId="{07abe62e-06ed-4d3e-88ea-09e8d079c59e}"/>
      </c:ext>
    </c:extLst>
  </c:chart>
  <c:spPr>
    <a:solidFill>
      <a:schemeClr val="bg1"/>
    </a:solidFill>
    <a:ln w="9525" cap="flat" cmpd="sng" algn="ctr">
      <a:solidFill>
        <a:schemeClr val="bg1">
          <a:lumMod val="85000"/>
        </a:schemeClr>
      </a:solidFill>
      <a:round/>
    </a:ln>
    <a:effectLst>
      <a:outerShdw blurRad="63500" dist="37357" dir="2700000" sx="0" sy="0" rotWithShape="0">
        <a:scrgbClr r="0" g="0" b="0"/>
      </a:outerShdw>
    </a:effectLst>
  </c:spPr>
  <c:txPr>
    <a:bodyPr/>
    <a:lstStyle/>
    <a:p>
      <a:pPr>
        <a:defRPr lang="zh-CN"/>
      </a:pPr>
    </a:p>
  </c:txPr>
  <c:externalData r:id="rId1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zh-CN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0" vertOverflow="ellipsis" vert="horz" wrap="square" anchor="ctr" anchorCtr="1" forceAA="0"/>
          <a:lstStyle/>
          <a:p>
            <a:pPr defTabSz="914400">
              <a:defRPr lang="zh-CN"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微软雅黑" panose="020B0503020204020204" pitchFamily="34" charset="-122"/>
                <a:ea typeface="微软雅黑" panose="020B0503020204020204" pitchFamily="34" charset="-122"/>
                <a:cs typeface="微软雅黑" panose="020B0503020204020204" pitchFamily="34" charset="-122"/>
                <a:sym typeface="微软雅黑" panose="020B0503020204020204" pitchFamily="34" charset="-122"/>
              </a:defRPr>
            </a:pPr>
            <a:r>
              <a:t>财政拨款收入支出决算总体情况</a:t>
            </a:r>
          </a:p>
        </c:rich>
      </c:tx>
      <c:layout/>
      <c:overlay val="0"/>
      <c:spPr>
        <a:noFill/>
        <a:ln>
          <a:noFill/>
        </a:ln>
        <a:effectLst/>
      </c:spPr>
    </c:title>
    <c:autoTitleDeleted val="0"/>
    <c:plotArea>
      <c:layout>
        <c:manualLayout>
          <c:layoutTarget val="inner"/>
          <c:xMode val="edge"/>
          <c:yMode val="edge"/>
          <c:x val="0.0466532802084583"/>
          <c:y val="0.295408062930187"/>
          <c:w val="0.902816839154127"/>
          <c:h val="0.592022756005057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Sheet1!$B$1</c:f>
              <c:strCache>
                <c:ptCount val="1"/>
                <c:pt idx="0">
                  <c:v>2023 年度财政拨款收、支总计</c:v>
                </c:pt>
              </c:strCache>
            </c:strRef>
          </c:tx>
          <c:spPr>
            <a:blipFill dpi="0" rotWithShape="1">
              <a:blip xmlns:r="http://schemas.openxmlformats.org/officeDocument/2006/relationships" r:embed="rId2"/>
              <a:srcRect/>
              <a:stretch>
                <a:fillRect/>
              </a:stretch>
            </a:blipFill>
            <a:ln>
              <a:noFill/>
            </a:ln>
            <a:effectLst/>
          </c:spPr>
          <c:invertIfNegative val="0"/>
          <c:dLbls>
            <c:numFmt formatCode="General" sourceLinked="1"/>
            <c:spPr>
              <a:noFill/>
              <a:ln>
                <a:noFill/>
              </a:ln>
              <a:effectLst/>
            </c:spPr>
            <c:txPr>
              <a:bodyPr rot="0" spcFirstLastPara="0" vertOverflow="ellipsis" vert="horz" wrap="square" lIns="38100" tIns="19050" rIns="38100" bIns="19050" anchor="ctr" anchorCtr="1" forceAA="0">
                <a:spAutoFit/>
              </a:bodyPr>
              <a:lstStyle/>
              <a:p>
                <a:pPr>
                  <a:defRPr lang="zh-CN" sz="900" b="0" i="0" u="none" strike="noStrike" kern="1200" baseline="0">
                    <a:solidFill>
                      <a:srgbClr val="56C0CD"/>
                    </a:solidFill>
                    <a:latin typeface="微软雅黑" panose="020B0503020204020204" pitchFamily="34" charset="-122"/>
                    <a:ea typeface="微软雅黑" panose="020B0503020204020204" pitchFamily="34" charset="-122"/>
                    <a:cs typeface="微软雅黑" panose="020B0503020204020204" pitchFamily="34" charset="-122"/>
                    <a:sym typeface="微软雅黑" panose="020B0503020204020204" pitchFamily="34" charset="-122"/>
                  </a:defRPr>
                </a:pPr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Sheet1!$A$2</c:f>
              <c:numCache>
                <c:formatCode>General</c:formatCode>
                <c:ptCount val="1"/>
              </c:numCache>
            </c:numRef>
          </c:cat>
          <c:val>
            <c:numRef>
              <c:f>Sheet1!$B$2</c:f>
              <c:numCache>
                <c:formatCode>General</c:formatCode>
                <c:ptCount val="1"/>
                <c:pt idx="0">
                  <c:v>672.48</c:v>
                </c:pt>
              </c:numCache>
            </c:numRef>
          </c:val>
        </c:ser>
        <c:ser>
          <c:idx val="1"/>
          <c:order val="1"/>
          <c:tx>
            <c:strRef>
              <c:f>Sheet1!$C$1</c:f>
              <c:strCache>
                <c:ptCount val="1"/>
                <c:pt idx="0">
                  <c:v>2022年度财政拨款收、支总计</c:v>
                </c:pt>
              </c:strCache>
            </c:strRef>
          </c:tx>
          <c:spPr>
            <a:blipFill dpi="0" rotWithShape="1">
              <a:blip xmlns:r="http://schemas.openxmlformats.org/officeDocument/2006/relationships" r:embed="rId3"/>
              <a:srcRect/>
              <a:stretch>
                <a:fillRect/>
              </a:stretch>
            </a:blipFill>
            <a:ln>
              <a:noFill/>
            </a:ln>
            <a:effectLst/>
          </c:spPr>
          <c:invertIfNegative val="0"/>
          <c:dLbls>
            <c:numFmt formatCode="General" sourceLinked="1"/>
            <c:spPr>
              <a:noFill/>
              <a:ln>
                <a:noFill/>
              </a:ln>
              <a:effectLst/>
            </c:spPr>
            <c:txPr>
              <a:bodyPr rot="0" spcFirstLastPara="0" vertOverflow="ellipsis" vert="horz" wrap="square" lIns="38100" tIns="19050" rIns="38100" bIns="19050" anchor="ctr" anchorCtr="1" forceAA="0">
                <a:spAutoFit/>
              </a:bodyPr>
              <a:lstStyle/>
              <a:p>
                <a:pPr>
                  <a:defRPr lang="zh-CN" sz="900" b="0" i="0" u="none" strike="noStrike" kern="1200" baseline="0">
                    <a:solidFill>
                      <a:srgbClr val="60BC8A"/>
                    </a:solidFill>
                    <a:latin typeface="微软雅黑" panose="020B0503020204020204" pitchFamily="34" charset="-122"/>
                    <a:ea typeface="微软雅黑" panose="020B0503020204020204" pitchFamily="34" charset="-122"/>
                    <a:cs typeface="微软雅黑" panose="020B0503020204020204" pitchFamily="34" charset="-122"/>
                    <a:sym typeface="微软雅黑" panose="020B0503020204020204" pitchFamily="34" charset="-122"/>
                  </a:defRPr>
                </a:pPr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Sheet1!$A$2</c:f>
              <c:numCache>
                <c:formatCode>General</c:formatCode>
                <c:ptCount val="1"/>
              </c:numCache>
            </c:numRef>
          </c:cat>
          <c:val>
            <c:numRef>
              <c:f>Sheet1!$C$2</c:f>
              <c:numCache>
                <c:formatCode>General</c:formatCode>
                <c:ptCount val="1"/>
                <c:pt idx="0">
                  <c:v>699.68</c:v>
                </c:pt>
              </c:numCache>
            </c:numRef>
          </c:val>
        </c:ser>
        <c:ser>
          <c:idx val="2"/>
          <c:order val="2"/>
          <c:tx>
            <c:strRef>
              <c:f>Sheet1!$D$1</c:f>
              <c:strCache>
                <c:ptCount val="1"/>
                <c:pt idx="0">
                  <c:v>财政拨款收、支总计各减少</c:v>
                </c:pt>
              </c:strCache>
            </c:strRef>
          </c:tx>
          <c:spPr>
            <a:blipFill dpi="0" rotWithShape="1">
              <a:blip xmlns:r="http://schemas.openxmlformats.org/officeDocument/2006/relationships" r:embed="rId4"/>
              <a:srcRect/>
              <a:stretch>
                <a:fillRect/>
              </a:stretch>
            </a:blipFill>
            <a:ln>
              <a:noFill/>
            </a:ln>
            <a:effectLst/>
          </c:spPr>
          <c:invertIfNegative val="0"/>
          <c:dLbls>
            <c:numFmt formatCode="General" sourceLinked="1"/>
            <c:spPr>
              <a:noFill/>
              <a:ln>
                <a:noFill/>
              </a:ln>
              <a:effectLst/>
            </c:spPr>
            <c:txPr>
              <a:bodyPr rot="0" spcFirstLastPara="0" vertOverflow="ellipsis" vert="horz" wrap="square" lIns="38100" tIns="19050" rIns="38100" bIns="19050" anchor="ctr" anchorCtr="1" forceAA="0">
                <a:spAutoFit/>
              </a:bodyPr>
              <a:lstStyle/>
              <a:p>
                <a:pPr>
                  <a:defRPr lang="zh-CN" sz="900" b="0" i="0" u="none" strike="noStrike" kern="1200" baseline="0">
                    <a:solidFill>
                      <a:srgbClr val="74BC3B"/>
                    </a:solidFill>
                    <a:latin typeface="微软雅黑" panose="020B0503020204020204" pitchFamily="34" charset="-122"/>
                    <a:ea typeface="微软雅黑" panose="020B0503020204020204" pitchFamily="34" charset="-122"/>
                    <a:cs typeface="微软雅黑" panose="020B0503020204020204" pitchFamily="34" charset="-122"/>
                    <a:sym typeface="微软雅黑" panose="020B0503020204020204" pitchFamily="34" charset="-122"/>
                  </a:defRPr>
                </a:pPr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Sheet1!$A$2</c:f>
              <c:numCache>
                <c:formatCode>General</c:formatCode>
                <c:ptCount val="1"/>
              </c:numCache>
            </c:numRef>
          </c:cat>
          <c:val>
            <c:numRef>
              <c:f>Sheet1!$D$2</c:f>
              <c:numCache>
                <c:formatCode>General</c:formatCode>
                <c:ptCount val="1"/>
                <c:pt idx="0">
                  <c:v>27.2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411"/>
        <c:overlap val="-26"/>
        <c:axId val="995531126"/>
        <c:axId val="771779696"/>
      </c:barChart>
      <c:catAx>
        <c:axId val="995531126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34925" cap="flat" cmpd="sng" algn="ctr">
            <a:noFill/>
            <a:prstDash val="solid"/>
            <a:round/>
          </a:ln>
          <a:effectLst/>
        </c:spPr>
        <c:txPr>
          <a:bodyPr rot="-60000000" spcFirstLastPara="0" vertOverflow="ellipsis" vert="horz" wrap="square" anchor="ctr" anchorCtr="1" forceAA="0"/>
          <a:lstStyle/>
          <a:p>
            <a:pPr>
              <a:defRPr lang="zh-CN"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微软雅黑" panose="020B0503020204020204" pitchFamily="34" charset="-122"/>
                <a:ea typeface="微软雅黑" panose="020B0503020204020204" pitchFamily="34" charset="-122"/>
                <a:cs typeface="微软雅黑" panose="020B0503020204020204" pitchFamily="34" charset="-122"/>
                <a:sym typeface="微软雅黑" panose="020B0503020204020204" pitchFamily="34" charset="-122"/>
              </a:defRPr>
            </a:pPr>
          </a:p>
        </c:txPr>
        <c:crossAx val="771779696"/>
        <c:crosses val="autoZero"/>
        <c:auto val="1"/>
        <c:lblAlgn val="ctr"/>
        <c:lblOffset val="0"/>
        <c:noMultiLvlLbl val="0"/>
      </c:catAx>
      <c:valAx>
        <c:axId val="771779696"/>
        <c:scaling>
          <c:orientation val="minMax"/>
        </c:scaling>
        <c:delete val="1"/>
        <c:axPos val="l"/>
        <c:numFmt formatCode="General" sourceLinked="1"/>
        <c:majorTickMark val="none"/>
        <c:minorTickMark val="none"/>
        <c:tickLblPos val="nextTo"/>
        <c:txPr>
          <a:bodyPr rot="-60000000" spcFirstLastPara="0" vertOverflow="ellipsis" vert="horz" wrap="square" anchor="ctr" anchorCtr="1"/>
          <a:lstStyle/>
          <a:p>
            <a:pPr>
              <a:defRPr lang="zh-CN"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微软雅黑" panose="020B0503020204020204" pitchFamily="34" charset="-122"/>
                <a:ea typeface="微软雅黑" panose="020B0503020204020204" pitchFamily="34" charset="-122"/>
                <a:cs typeface="微软雅黑" panose="020B0503020204020204" pitchFamily="34" charset="-122"/>
                <a:sym typeface="微软雅黑" panose="020B0503020204020204" pitchFamily="34" charset="-122"/>
              </a:defRPr>
            </a:pPr>
          </a:p>
        </c:txPr>
        <c:crossAx val="995531126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t"/>
      <c:layout/>
      <c:overlay val="0"/>
      <c:spPr>
        <a:noFill/>
        <a:ln>
          <a:noFill/>
        </a:ln>
        <a:effectLst/>
      </c:spPr>
      <c:txPr>
        <a:bodyPr rot="0" spcFirstLastPara="0" vertOverflow="ellipsis" vert="horz" wrap="square" anchor="ctr" anchorCtr="1" forceAA="0"/>
        <a:lstStyle/>
        <a:p>
          <a:pPr>
            <a:defRPr lang="zh-CN"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微软雅黑" panose="020B0503020204020204" pitchFamily="34" charset="-122"/>
              <a:ea typeface="微软雅黑" panose="020B0503020204020204" pitchFamily="34" charset="-122"/>
              <a:cs typeface="微软雅黑" panose="020B0503020204020204" pitchFamily="34" charset="-122"/>
              <a:sym typeface="微软雅黑" panose="020B0503020204020204" pitchFamily="34" charset="-122"/>
            </a:defRPr>
          </a:pPr>
        </a:p>
      </c:txPr>
    </c:legend>
    <c:plotVisOnly val="1"/>
    <c:dispBlanksAs val="gap"/>
    <c:showDLblsOverMax val="0"/>
    <c:extLst>
      <c:ext uri="{0b15fc19-7d7d-44ad-8c2d-2c3a37ce22c3}">
        <chartProps xmlns="https://web.wps.cn/et/2018/main" chartId="{9b58e5dc-c317-482c-9842-022dd8469591}"/>
      </c:ext>
    </c:extLst>
  </c:chart>
  <c:spPr>
    <a:solidFill>
      <a:schemeClr val="bg1"/>
    </a:solidFill>
    <a:ln w="9525" cap="flat" cmpd="sng" algn="ctr">
      <a:solidFill>
        <a:schemeClr val="tx1">
          <a:lumMod val="50000"/>
          <a:lumOff val="50000"/>
          <a:alpha val="25000"/>
        </a:schemeClr>
      </a:solidFill>
      <a:round/>
    </a:ln>
    <a:effectLst>
      <a:outerShdw blurRad="63500" dist="37357" dir="2700000" sx="0" sy="0" rotWithShape="0">
        <a:scrgbClr r="0" g="0" b="0"/>
      </a:outerShdw>
    </a:effectLst>
  </c:spPr>
  <c:txPr>
    <a:bodyPr/>
    <a:lstStyle/>
    <a:p>
      <a:pPr>
        <a:defRPr lang="zh-CN">
          <a:latin typeface="微软雅黑" panose="020B0503020204020204" pitchFamily="34" charset="-122"/>
          <a:ea typeface="微软雅黑" panose="020B0503020204020204" pitchFamily="34" charset="-122"/>
          <a:cs typeface="微软雅黑" panose="020B0503020204020204" pitchFamily="34" charset="-122"/>
          <a:sym typeface="微软雅黑" panose="020B0503020204020204" pitchFamily="34" charset="-122"/>
        </a:defRPr>
      </a:pPr>
    </a:p>
  </c:txPr>
  <c:externalData r:id="rId1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zh-CN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0" vertOverflow="ellipsis" vert="horz" wrap="square" anchor="ctr" anchorCtr="1" forceAA="0"/>
          <a:lstStyle/>
          <a:p>
            <a:pPr defTabSz="914400">
              <a:defRPr lang="zh-CN"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微软雅黑" panose="020B0503020204020204" pitchFamily="34" charset="-122"/>
                <a:ea typeface="微软雅黑" panose="020B0503020204020204" pitchFamily="34" charset="-122"/>
                <a:cs typeface="微软雅黑" panose="020B0503020204020204" pitchFamily="34" charset="-122"/>
                <a:sym typeface="微软雅黑" panose="020B0503020204020204" pitchFamily="34" charset="-122"/>
              </a:defRPr>
            </a:pPr>
            <a:r>
              <a:t>一般公共预算财政拨款支出决算总体情况</a:t>
            </a:r>
          </a:p>
        </c:rich>
      </c:tx>
      <c:layout>
        <c:manualLayout>
          <c:xMode val="edge"/>
          <c:yMode val="edge"/>
          <c:x val="0.184102440202948"/>
          <c:y val="0.0254993625159371"/>
        </c:manualLayout>
      </c:layout>
      <c:overlay val="0"/>
      <c:spPr>
        <a:noFill/>
        <a:ln>
          <a:noFill/>
        </a:ln>
        <a:effectLst/>
      </c:spPr>
    </c:title>
    <c:autoTitleDeleted val="0"/>
    <c:plotArea>
      <c:layout>
        <c:manualLayout>
          <c:layoutTarget val="inner"/>
          <c:xMode val="edge"/>
          <c:yMode val="edge"/>
          <c:x val="0.0466532802084583"/>
          <c:y val="0.295408062930187"/>
          <c:w val="0.902816839154127"/>
          <c:h val="0.592022756005057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Sheet1!$B$1</c:f>
              <c:strCache>
                <c:ptCount val="1"/>
                <c:pt idx="0">
                  <c:v>2023 年度一般公共预算财政拨款支出</c:v>
                </c:pt>
              </c:strCache>
            </c:strRef>
          </c:tx>
          <c:spPr>
            <a:blipFill dpi="0" rotWithShape="1">
              <a:blip xmlns:r="http://schemas.openxmlformats.org/officeDocument/2006/relationships" r:embed="rId2"/>
              <a:srcRect/>
              <a:stretch>
                <a:fillRect/>
              </a:stretch>
            </a:blipFill>
            <a:ln>
              <a:noFill/>
            </a:ln>
            <a:effectLst/>
          </c:spPr>
          <c:invertIfNegative val="0"/>
          <c:dLbls>
            <c:numFmt formatCode="General" sourceLinked="1"/>
            <c:spPr>
              <a:noFill/>
              <a:ln>
                <a:noFill/>
              </a:ln>
              <a:effectLst/>
            </c:spPr>
            <c:txPr>
              <a:bodyPr rot="0" spcFirstLastPara="0" vertOverflow="ellipsis" vert="horz" wrap="square" lIns="38100" tIns="19050" rIns="38100" bIns="19050" anchor="ctr" anchorCtr="1" forceAA="0">
                <a:spAutoFit/>
              </a:bodyPr>
              <a:lstStyle/>
              <a:p>
                <a:pPr>
                  <a:defRPr lang="zh-CN" sz="900" b="0" i="0" u="none" strike="noStrike" kern="1200" baseline="0">
                    <a:solidFill>
                      <a:srgbClr val="56C0CD"/>
                    </a:solidFill>
                    <a:latin typeface="微软雅黑" panose="020B0503020204020204" pitchFamily="34" charset="-122"/>
                    <a:ea typeface="微软雅黑" panose="020B0503020204020204" pitchFamily="34" charset="-122"/>
                    <a:cs typeface="微软雅黑" panose="020B0503020204020204" pitchFamily="34" charset="-122"/>
                    <a:sym typeface="微软雅黑" panose="020B0503020204020204" pitchFamily="34" charset="-122"/>
                  </a:defRPr>
                </a:pPr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Sheet1!$A$2</c:f>
              <c:numCache>
                <c:formatCode>General</c:formatCode>
                <c:ptCount val="1"/>
              </c:numCache>
            </c:numRef>
          </c:cat>
          <c:val>
            <c:numRef>
              <c:f>Sheet1!$B$2</c:f>
              <c:numCache>
                <c:formatCode>General</c:formatCode>
                <c:ptCount val="1"/>
                <c:pt idx="0">
                  <c:v>672.48</c:v>
                </c:pt>
              </c:numCache>
            </c:numRef>
          </c:val>
        </c:ser>
        <c:ser>
          <c:idx val="1"/>
          <c:order val="1"/>
          <c:tx>
            <c:strRef>
              <c:f>Sheet1!$C$1</c:f>
              <c:strCache>
                <c:ptCount val="1"/>
                <c:pt idx="0">
                  <c:v>2022年度财政拨款收、支总计</c:v>
                </c:pt>
              </c:strCache>
            </c:strRef>
          </c:tx>
          <c:spPr>
            <a:blipFill dpi="0" rotWithShape="1">
              <a:blip xmlns:r="http://schemas.openxmlformats.org/officeDocument/2006/relationships" r:embed="rId3"/>
              <a:srcRect/>
              <a:stretch>
                <a:fillRect/>
              </a:stretch>
            </a:blipFill>
            <a:ln>
              <a:noFill/>
            </a:ln>
            <a:effectLst/>
          </c:spPr>
          <c:invertIfNegative val="0"/>
          <c:dLbls>
            <c:numFmt formatCode="General" sourceLinked="1"/>
            <c:spPr>
              <a:noFill/>
              <a:ln>
                <a:noFill/>
              </a:ln>
              <a:effectLst/>
            </c:spPr>
            <c:txPr>
              <a:bodyPr rot="0" spcFirstLastPara="0" vertOverflow="ellipsis" vert="horz" wrap="square" lIns="38100" tIns="19050" rIns="38100" bIns="19050" anchor="ctr" anchorCtr="1" forceAA="0">
                <a:spAutoFit/>
              </a:bodyPr>
              <a:lstStyle/>
              <a:p>
                <a:pPr>
                  <a:defRPr lang="zh-CN" sz="900" b="0" i="0" u="none" strike="noStrike" kern="1200" baseline="0">
                    <a:solidFill>
                      <a:srgbClr val="60BC8A"/>
                    </a:solidFill>
                    <a:latin typeface="微软雅黑" panose="020B0503020204020204" pitchFamily="34" charset="-122"/>
                    <a:ea typeface="微软雅黑" panose="020B0503020204020204" pitchFamily="34" charset="-122"/>
                    <a:cs typeface="微软雅黑" panose="020B0503020204020204" pitchFamily="34" charset="-122"/>
                    <a:sym typeface="微软雅黑" panose="020B0503020204020204" pitchFamily="34" charset="-122"/>
                  </a:defRPr>
                </a:pPr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Sheet1!$A$2</c:f>
              <c:numCache>
                <c:formatCode>General</c:formatCode>
                <c:ptCount val="1"/>
              </c:numCache>
            </c:numRef>
          </c:cat>
          <c:val>
            <c:numRef>
              <c:f>Sheet1!$C$2</c:f>
              <c:numCache>
                <c:formatCode>General</c:formatCode>
                <c:ptCount val="1"/>
                <c:pt idx="0">
                  <c:v>699.68</c:v>
                </c:pt>
              </c:numCache>
            </c:numRef>
          </c:val>
        </c:ser>
        <c:ser>
          <c:idx val="2"/>
          <c:order val="2"/>
          <c:tx>
            <c:strRef>
              <c:f>Sheet1!$D$1</c:f>
              <c:strCache>
                <c:ptCount val="1"/>
                <c:pt idx="0">
                  <c:v>财政拨款收、支总计各增加</c:v>
                </c:pt>
              </c:strCache>
            </c:strRef>
          </c:tx>
          <c:spPr>
            <a:blipFill dpi="0" rotWithShape="1">
              <a:blip xmlns:r="http://schemas.openxmlformats.org/officeDocument/2006/relationships" r:embed="rId4"/>
              <a:srcRect/>
              <a:stretch>
                <a:fillRect/>
              </a:stretch>
            </a:blipFill>
            <a:ln>
              <a:noFill/>
            </a:ln>
            <a:effectLst/>
          </c:spPr>
          <c:invertIfNegative val="0"/>
          <c:dLbls>
            <c:numFmt formatCode="General" sourceLinked="1"/>
            <c:spPr>
              <a:noFill/>
              <a:ln>
                <a:noFill/>
              </a:ln>
              <a:effectLst/>
            </c:spPr>
            <c:txPr>
              <a:bodyPr rot="0" spcFirstLastPara="0" vertOverflow="ellipsis" vert="horz" wrap="square" lIns="38100" tIns="19050" rIns="38100" bIns="19050" anchor="ctr" anchorCtr="1" forceAA="0">
                <a:spAutoFit/>
              </a:bodyPr>
              <a:lstStyle/>
              <a:p>
                <a:pPr>
                  <a:defRPr lang="zh-CN" sz="900" b="0" i="0" u="none" strike="noStrike" kern="1200" baseline="0">
                    <a:solidFill>
                      <a:srgbClr val="74BC3B"/>
                    </a:solidFill>
                    <a:latin typeface="微软雅黑" panose="020B0503020204020204" pitchFamily="34" charset="-122"/>
                    <a:ea typeface="微软雅黑" panose="020B0503020204020204" pitchFamily="34" charset="-122"/>
                    <a:cs typeface="微软雅黑" panose="020B0503020204020204" pitchFamily="34" charset="-122"/>
                    <a:sym typeface="微软雅黑" panose="020B0503020204020204" pitchFamily="34" charset="-122"/>
                  </a:defRPr>
                </a:pPr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Sheet1!$A$2</c:f>
              <c:numCache>
                <c:formatCode>General</c:formatCode>
                <c:ptCount val="1"/>
              </c:numCache>
            </c:numRef>
          </c:cat>
          <c:val>
            <c:numRef>
              <c:f>Sheet1!$D$2</c:f>
              <c:numCache>
                <c:formatCode>General</c:formatCode>
                <c:ptCount val="1"/>
                <c:pt idx="0">
                  <c:v>27.2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411"/>
        <c:overlap val="-26"/>
        <c:axId val="995531126"/>
        <c:axId val="771779696"/>
      </c:barChart>
      <c:catAx>
        <c:axId val="995531126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34925" cap="flat" cmpd="sng" algn="ctr">
            <a:noFill/>
            <a:prstDash val="solid"/>
            <a:round/>
          </a:ln>
          <a:effectLst/>
        </c:spPr>
        <c:txPr>
          <a:bodyPr rot="-60000000" spcFirstLastPara="0" vertOverflow="ellipsis" vert="horz" wrap="square" anchor="ctr" anchorCtr="1" forceAA="0"/>
          <a:lstStyle/>
          <a:p>
            <a:pPr>
              <a:defRPr lang="zh-CN"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微软雅黑" panose="020B0503020204020204" pitchFamily="34" charset="-122"/>
                <a:ea typeface="微软雅黑" panose="020B0503020204020204" pitchFamily="34" charset="-122"/>
                <a:cs typeface="微软雅黑" panose="020B0503020204020204" pitchFamily="34" charset="-122"/>
                <a:sym typeface="微软雅黑" panose="020B0503020204020204" pitchFamily="34" charset="-122"/>
              </a:defRPr>
            </a:pPr>
          </a:p>
        </c:txPr>
        <c:crossAx val="771779696"/>
        <c:crosses val="autoZero"/>
        <c:auto val="1"/>
        <c:lblAlgn val="ctr"/>
        <c:lblOffset val="0"/>
        <c:noMultiLvlLbl val="0"/>
      </c:catAx>
      <c:valAx>
        <c:axId val="771779696"/>
        <c:scaling>
          <c:orientation val="minMax"/>
        </c:scaling>
        <c:delete val="1"/>
        <c:axPos val="l"/>
        <c:numFmt formatCode="General" sourceLinked="1"/>
        <c:majorTickMark val="none"/>
        <c:minorTickMark val="none"/>
        <c:tickLblPos val="nextTo"/>
        <c:txPr>
          <a:bodyPr rot="-60000000" spcFirstLastPara="0" vertOverflow="ellipsis" vert="horz" wrap="square" anchor="ctr" anchorCtr="1"/>
          <a:lstStyle/>
          <a:p>
            <a:pPr>
              <a:defRPr lang="zh-CN"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微软雅黑" panose="020B0503020204020204" pitchFamily="34" charset="-122"/>
                <a:ea typeface="微软雅黑" panose="020B0503020204020204" pitchFamily="34" charset="-122"/>
                <a:cs typeface="微软雅黑" panose="020B0503020204020204" pitchFamily="34" charset="-122"/>
                <a:sym typeface="微软雅黑" panose="020B0503020204020204" pitchFamily="34" charset="-122"/>
              </a:defRPr>
            </a:pPr>
          </a:p>
        </c:txPr>
        <c:crossAx val="995531126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t"/>
      <c:layout/>
      <c:overlay val="0"/>
      <c:spPr>
        <a:noFill/>
        <a:ln>
          <a:noFill/>
        </a:ln>
        <a:effectLst/>
      </c:spPr>
      <c:txPr>
        <a:bodyPr rot="0" spcFirstLastPara="0" vertOverflow="ellipsis" vert="horz" wrap="square" anchor="ctr" anchorCtr="1" forceAA="0"/>
        <a:lstStyle/>
        <a:p>
          <a:pPr>
            <a:defRPr lang="zh-CN"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微软雅黑" panose="020B0503020204020204" pitchFamily="34" charset="-122"/>
              <a:ea typeface="微软雅黑" panose="020B0503020204020204" pitchFamily="34" charset="-122"/>
              <a:cs typeface="微软雅黑" panose="020B0503020204020204" pitchFamily="34" charset="-122"/>
              <a:sym typeface="微软雅黑" panose="020B0503020204020204" pitchFamily="34" charset="-122"/>
            </a:defRPr>
          </a:pPr>
        </a:p>
      </c:txPr>
    </c:legend>
    <c:plotVisOnly val="1"/>
    <c:dispBlanksAs val="gap"/>
    <c:showDLblsOverMax val="0"/>
    <c:extLst>
      <c:ext uri="{0b15fc19-7d7d-44ad-8c2d-2c3a37ce22c3}">
        <chartProps xmlns="https://web.wps.cn/et/2018/main" chartId="{40cd119c-faad-4b36-aba8-ce2efdf7c0b1}"/>
      </c:ext>
    </c:extLst>
  </c:chart>
  <c:spPr>
    <a:solidFill>
      <a:schemeClr val="bg1"/>
    </a:solidFill>
    <a:ln w="9525" cap="flat" cmpd="sng" algn="ctr">
      <a:solidFill>
        <a:schemeClr val="tx1">
          <a:lumMod val="50000"/>
          <a:lumOff val="50000"/>
          <a:alpha val="25000"/>
        </a:schemeClr>
      </a:solidFill>
      <a:round/>
    </a:ln>
    <a:effectLst>
      <a:outerShdw blurRad="63500" dist="37357" dir="2700000" sx="0" sy="0" rotWithShape="0">
        <a:scrgbClr r="0" g="0" b="0"/>
      </a:outerShdw>
    </a:effectLst>
  </c:spPr>
  <c:txPr>
    <a:bodyPr/>
    <a:lstStyle/>
    <a:p>
      <a:pPr>
        <a:defRPr lang="zh-CN">
          <a:latin typeface="微软雅黑" panose="020B0503020204020204" pitchFamily="34" charset="-122"/>
          <a:ea typeface="微软雅黑" panose="020B0503020204020204" pitchFamily="34" charset="-122"/>
          <a:cs typeface="微软雅黑" panose="020B0503020204020204" pitchFamily="34" charset="-122"/>
          <a:sym typeface="微软雅黑" panose="020B0503020204020204" pitchFamily="34" charset="-122"/>
        </a:defRPr>
      </a:pPr>
    </a:p>
  </c:txPr>
  <c:externalData r:id="rId1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zh-CN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0" vertOverflow="ellipsis" vert="horz" wrap="square" anchor="ctr" anchorCtr="1" forceAA="0"/>
          <a:lstStyle/>
          <a:p>
            <a:pPr defTabSz="914400">
              <a:defRPr lang="zh-CN" sz="1400" b="0" i="0" u="none" strike="noStrike" kern="1200" spc="0" baseline="0">
                <a:solidFill>
                  <a:schemeClr val="tx1"/>
                </a:solidFill>
                <a:latin typeface="+mn-lt"/>
                <a:ea typeface="+mn-ea"/>
                <a:cs typeface="+mn-cs"/>
              </a:defRPr>
            </a:pPr>
            <a:r>
              <a:t>一般公共预算财政拨款支出结构情况</a:t>
            </a:r>
          </a:p>
        </c:rich>
      </c:tx>
      <c:layout/>
      <c:overlay val="0"/>
      <c:spPr>
        <a:noFill/>
        <a:ln>
          <a:noFill/>
        </a:ln>
        <a:effectLst/>
      </c:spPr>
    </c:title>
    <c:autoTitleDeleted val="0"/>
    <c:plotArea>
      <c:layout/>
      <c:pieChart>
        <c:varyColors val="1"/>
        <c:ser>
          <c:idx val="0"/>
          <c:order val="0"/>
          <c:tx>
            <c:strRef>
              <c:f>Sheet1!$B$1</c:f>
              <c:strCache>
                <c:ptCount val="1"/>
                <c:pt idx="0">
                  <c:v>销售额</c:v>
                </c:pt>
              </c:strCache>
            </c:strRef>
          </c:tx>
          <c:spPr>
            <a:ln w="15875">
              <a:solidFill>
                <a:schemeClr val="bg1"/>
              </a:solidFill>
            </a:ln>
            <a:effectLst>
              <a:outerShdw blurRad="50800" dist="38100" dir="2700000" algn="tl" rotWithShape="0">
                <a:prstClr val="black">
                  <a:alpha val="40000"/>
                </a:prstClr>
              </a:outerShdw>
            </a:effectLst>
            <a:sp3d contourW="15875"/>
          </c:spPr>
          <c:explosion val="0"/>
          <c:dPt>
            <c:idx val="0"/>
            <c:bubble3D val="0"/>
            <c:spPr>
              <a:gradFill>
                <a:gsLst>
                  <a:gs pos="0">
                    <a:schemeClr val="accent6">
                      <a:lumMod val="60000"/>
                      <a:lumOff val="40000"/>
                    </a:schemeClr>
                  </a:gs>
                  <a:gs pos="83000">
                    <a:schemeClr val="accent6"/>
                  </a:gs>
                </a:gsLst>
                <a:lin ang="2700000"/>
              </a:gradFill>
              <a:ln w="15875">
                <a:solidFill>
                  <a:schemeClr val="bg1"/>
                </a:solidFill>
              </a:ln>
              <a:effectLst>
                <a:outerShdw blurRad="50800" dist="38100" dir="2700000" algn="tl" rotWithShape="0">
                  <a:schemeClr val="accent6">
                    <a:lumMod val="50000"/>
                    <a:alpha val="40000"/>
                  </a:schemeClr>
                </a:outerShdw>
              </a:effectLst>
              <a:sp3d contourW="15875"/>
            </c:spPr>
          </c:dPt>
          <c:dPt>
            <c:idx val="1"/>
            <c:bubble3D val="0"/>
            <c:spPr>
              <a:gradFill>
                <a:gsLst>
                  <a:gs pos="0">
                    <a:schemeClr val="accent3">
                      <a:lumMod val="60000"/>
                      <a:lumOff val="40000"/>
                    </a:schemeClr>
                  </a:gs>
                  <a:gs pos="83000">
                    <a:schemeClr val="accent3"/>
                  </a:gs>
                </a:gsLst>
                <a:lin ang="2700000"/>
              </a:gradFill>
              <a:ln w="15875">
                <a:solidFill>
                  <a:schemeClr val="bg1"/>
                </a:solidFill>
              </a:ln>
              <a:effectLst>
                <a:outerShdw blurRad="50800" dist="38100" dir="2700000" algn="tl" rotWithShape="0">
                  <a:schemeClr val="accent2">
                    <a:lumMod val="50000"/>
                    <a:alpha val="40000"/>
                  </a:schemeClr>
                </a:outerShdw>
              </a:effectLst>
              <a:sp3d contourW="15875"/>
            </c:spPr>
          </c:dPt>
          <c:dPt>
            <c:idx val="2"/>
            <c:bubble3D val="0"/>
            <c:spPr>
              <a:gradFill>
                <a:gsLst>
                  <a:gs pos="0">
                    <a:schemeClr val="accent5">
                      <a:lumMod val="60000"/>
                      <a:lumOff val="40000"/>
                    </a:schemeClr>
                  </a:gs>
                  <a:gs pos="83000">
                    <a:schemeClr val="accent5"/>
                  </a:gs>
                </a:gsLst>
                <a:lin ang="2700000"/>
              </a:gradFill>
              <a:ln w="19050">
                <a:solidFill>
                  <a:schemeClr val="bg1"/>
                </a:solidFill>
              </a:ln>
              <a:effectLst>
                <a:outerShdw blurRad="50800" dist="38100" dir="2700000" algn="tl" rotWithShape="0">
                  <a:schemeClr val="accent5">
                    <a:lumMod val="50000"/>
                    <a:alpha val="40000"/>
                  </a:schemeClr>
                </a:outerShdw>
              </a:effectLst>
              <a:sp3d contourW="19050"/>
            </c:spPr>
          </c:dPt>
          <c:dPt>
            <c:idx val="3"/>
            <c:bubble3D val="0"/>
            <c:spPr>
              <a:solidFill>
                <a:schemeClr val="accent4"/>
              </a:solidFill>
              <a:ln w="15875">
                <a:solidFill>
                  <a:schemeClr val="bg1"/>
                </a:solidFill>
              </a:ln>
              <a:effectLst>
                <a:outerShdw blurRad="50800" dist="38100" dir="2700000" algn="tl" rotWithShape="0">
                  <a:prstClr val="black">
                    <a:alpha val="40000"/>
                  </a:prstClr>
                </a:outerShdw>
              </a:effectLst>
              <a:sp3d contourW="15875"/>
            </c:spPr>
          </c:dPt>
          <c:dLbls>
            <c:spPr>
              <a:noFill/>
              <a:ln>
                <a:noFill/>
              </a:ln>
              <a:effectLst/>
            </c:spPr>
            <c:txPr>
              <a:bodyPr rot="0" spcFirstLastPara="0" vertOverflow="ellipsis" vert="horz" wrap="square" lIns="38100" tIns="19050" rIns="38100" bIns="19050" anchor="ctr" anchorCtr="1"/>
              <a:lstStyle/>
              <a:p>
                <a:pPr>
                  <a:defRPr lang="zh-CN"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</a:p>
            </c:txPr>
            <c:dLblPos val="bestFit"/>
            <c:showLegendKey val="0"/>
            <c:showVal val="1"/>
            <c:showCatName val="0"/>
            <c:showSerName val="0"/>
            <c:showPercent val="0"/>
            <c:showBubbleSize val="0"/>
            <c:showLeaderLines val="1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Sheet1!$A$2:$A$5</c:f>
              <c:strCache>
                <c:ptCount val="4"/>
                <c:pt idx="0">
                  <c:v>教育支出</c:v>
                </c:pt>
                <c:pt idx="1">
                  <c:v>社会保障和就业支出</c:v>
                </c:pt>
                <c:pt idx="2">
                  <c:v>卫生健康支出</c:v>
                </c:pt>
                <c:pt idx="3">
                  <c:v>住房保障支出</c:v>
                </c:pt>
              </c:strCache>
            </c:strRef>
          </c:cat>
          <c:val>
            <c:numRef>
              <c:f>Sheet1!$B$2:$B$5</c:f>
              <c:numCache>
                <c:formatCode>General</c:formatCode>
                <c:ptCount val="4"/>
                <c:pt idx="0">
                  <c:v>507.92</c:v>
                </c:pt>
                <c:pt idx="1">
                  <c:v>97.22</c:v>
                </c:pt>
                <c:pt idx="2">
                  <c:v>29.32</c:v>
                </c:pt>
                <c:pt idx="3">
                  <c:v>38.01</c:v>
                </c:pt>
              </c:numCache>
            </c:numRef>
          </c:val>
        </c:ser>
        <c:dLbls>
          <c:showLegendKey val="0"/>
          <c:showVal val="1"/>
          <c:showCatName val="0"/>
          <c:showSerName val="0"/>
          <c:showPercent val="0"/>
          <c:showBubbleSize val="0"/>
          <c:showLeaderLines val="1"/>
        </c:dLbls>
        <c:firstSliceAng val="36"/>
      </c:pieChart>
      <c:spPr>
        <a:noFill/>
        <a:ln>
          <a:noFill/>
        </a:ln>
        <a:effectLst/>
      </c:spPr>
    </c:plotArea>
    <c:legend>
      <c:legendPos val="r"/>
      <c:layout/>
      <c:overlay val="0"/>
      <c:spPr>
        <a:noFill/>
        <a:ln>
          <a:noFill/>
        </a:ln>
        <a:effectLst/>
      </c:spPr>
      <c:txPr>
        <a:bodyPr rot="0" spcFirstLastPara="0" vertOverflow="ellipsis" vert="horz" wrap="square" anchor="ctr" anchorCtr="1" forceAA="0"/>
        <a:lstStyle/>
        <a:p>
          <a:pPr>
            <a:defRPr lang="zh-CN" sz="900" b="0" i="0" u="none" strike="noStrike" kern="1200" baseline="0">
              <a:solidFill>
                <a:schemeClr val="tx1">
                  <a:lumMod val="50000"/>
                  <a:lumOff val="50000"/>
                </a:schemeClr>
              </a:solidFill>
              <a:latin typeface="+mn-lt"/>
              <a:ea typeface="+mn-ea"/>
              <a:cs typeface="+mn-cs"/>
            </a:defRPr>
          </a:pPr>
        </a:p>
      </c:txPr>
    </c:legend>
    <c:plotVisOnly val="1"/>
    <c:dispBlanksAs val="gap"/>
    <c:showDLblsOverMax val="0"/>
    <c:extLst>
      <c:ext uri="{0b15fc19-7d7d-44ad-8c2d-2c3a37ce22c3}">
        <chartProps xmlns="https://web.wps.cn/et/2018/main" chartId="{4ec97b8c-12cb-415d-ab89-859bf944dce2}"/>
      </c:ext>
    </c:extLst>
  </c:chart>
  <c:spPr>
    <a:solidFill>
      <a:schemeClr val="bg1"/>
    </a:solidFill>
    <a:ln w="9525" cap="flat" cmpd="sng" algn="ctr">
      <a:solidFill>
        <a:schemeClr val="bg1">
          <a:lumMod val="85000"/>
        </a:schemeClr>
      </a:solidFill>
      <a:round/>
    </a:ln>
    <a:effectLst>
      <a:outerShdw blurRad="63500" dist="37357" dir="2700000" sx="0" sy="0" rotWithShape="0">
        <a:scrgbClr r="0" g="0" b="0"/>
      </a:outerShdw>
    </a:effectLst>
  </c:spPr>
  <c:txPr>
    <a:bodyPr/>
    <a:lstStyle/>
    <a:p>
      <a:pPr>
        <a:defRPr lang="zh-CN"/>
      </a:pPr>
    </a:p>
  </c:txPr>
  <c:externalData r:id="rId1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4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5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6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3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4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5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6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Pages>25</Pages>
  <Words>6863</Words>
  <Characters>7280</Characters>
  <TotalTime>32</TotalTime>
  <ScaleCrop>false</ScaleCrop>
  <LinksUpToDate>false</LinksUpToDate>
  <CharactersWithSpaces>7877</CharactersWithSpaces>
  <Application>WPS Office_12.1.0.18608_F1E327BC-269C-435d-A152-05C5408002CA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2024-08-07T08:54:00Z</dcterms:created>
  <dc:creator>王志强</dc:creator>
  <cp:lastModifiedBy>握不住的沙</cp:lastModifiedBy>
  <cp:lastPrinted>2024-08-26T08:47:00Z</cp:lastPrinted>
  <dcterms:modified xsi:type="dcterms:W3CDTF">2024-10-24T15:58:29Z</dcterms:modified>
  <dc:title>2015年度部门决算公开模板</dc:titl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O">
    <vt:lpwstr>wqlLaW5nc29mdCBQREYgdG8gV1BTIDEwMA</vt:lpwstr>
  </property>
  <property fmtid="{D5CDD505-2E9C-101B-9397-08002B2CF9AE}" pid="3" name="Created">
    <vt:filetime>2024-08-26T15:58:15Z</vt:filetime>
  </property>
  <property fmtid="{D5CDD505-2E9C-101B-9397-08002B2CF9AE}" pid="4" name="KSOProductBuildVer">
    <vt:lpwstr>2052-12.1.0.18608</vt:lpwstr>
  </property>
  <property fmtid="{D5CDD505-2E9C-101B-9397-08002B2CF9AE}" pid="5" name="ICV">
    <vt:lpwstr>1D7B47AC99BF4094A87456EB18E9625B_13</vt:lpwstr>
  </property>
</Properties>
</file>