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605B8">
      <w:pPr>
        <w:widowControl w:val="0"/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 xml:space="preserve">附件 </w:t>
      </w:r>
      <w:r>
        <w:rPr>
          <w:rFonts w:hint="default" w:ascii="Times New Roman" w:hAnsi="Times New Roman" w:eastAsia="仿宋" w:cs="Times New Roman"/>
          <w:snapToGrid/>
          <w:kern w:val="2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Times New Roman"/>
          <w:snapToGrid/>
          <w:kern w:val="2"/>
          <w:sz w:val="28"/>
          <w:szCs w:val="28"/>
          <w:lang w:eastAsia="zh-CN"/>
        </w:rPr>
        <w:t>：</w:t>
      </w:r>
    </w:p>
    <w:p w14:paraId="5194875A">
      <w:pPr>
        <w:pStyle w:val="2"/>
        <w:spacing w:line="251" w:lineRule="auto"/>
      </w:pPr>
    </w:p>
    <w:p w14:paraId="15A7E154">
      <w:pPr>
        <w:pStyle w:val="2"/>
        <w:spacing w:line="251" w:lineRule="auto"/>
      </w:pPr>
    </w:p>
    <w:p w14:paraId="10B84B7C">
      <w:pPr>
        <w:pStyle w:val="2"/>
        <w:spacing w:line="252" w:lineRule="auto"/>
      </w:pPr>
    </w:p>
    <w:p w14:paraId="751C39D1">
      <w:pPr>
        <w:pStyle w:val="2"/>
        <w:spacing w:line="252" w:lineRule="auto"/>
      </w:pPr>
    </w:p>
    <w:p w14:paraId="0561FA4A">
      <w:pPr>
        <w:pStyle w:val="2"/>
        <w:spacing w:line="252" w:lineRule="auto"/>
      </w:pPr>
    </w:p>
    <w:p w14:paraId="5B1007C2">
      <w:pPr>
        <w:pStyle w:val="2"/>
        <w:spacing w:line="252" w:lineRule="auto"/>
      </w:pPr>
    </w:p>
    <w:p w14:paraId="5CF92D06">
      <w:pPr>
        <w:pStyle w:val="2"/>
        <w:spacing w:line="252" w:lineRule="auto"/>
      </w:pPr>
    </w:p>
    <w:p w14:paraId="54126FE2">
      <w:pPr>
        <w:pStyle w:val="2"/>
        <w:spacing w:line="252" w:lineRule="auto"/>
      </w:pPr>
    </w:p>
    <w:p w14:paraId="1019F954">
      <w:pPr>
        <w:pStyle w:val="2"/>
        <w:spacing w:line="252" w:lineRule="auto"/>
      </w:pPr>
    </w:p>
    <w:p w14:paraId="3A71A31C">
      <w:pPr>
        <w:pStyle w:val="2"/>
        <w:spacing w:line="252" w:lineRule="auto"/>
      </w:pPr>
    </w:p>
    <w:p w14:paraId="115B7AA1">
      <w:pPr>
        <w:pStyle w:val="2"/>
        <w:spacing w:line="252" w:lineRule="auto"/>
      </w:pPr>
    </w:p>
    <w:p w14:paraId="5245FB85">
      <w:pPr>
        <w:pStyle w:val="2"/>
        <w:spacing w:line="252" w:lineRule="auto"/>
      </w:pPr>
    </w:p>
    <w:p w14:paraId="4CAA1137">
      <w:pPr>
        <w:pStyle w:val="2"/>
        <w:spacing w:line="252" w:lineRule="auto"/>
      </w:pPr>
    </w:p>
    <w:p w14:paraId="492350EB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2023 年度</w:t>
      </w:r>
    </w:p>
    <w:p w14:paraId="337A094F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</w:pPr>
    </w:p>
    <w:p w14:paraId="2DEB44F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榆树</w:t>
      </w: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  <w:t>市于家镇向阳</w:t>
      </w: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中</w:t>
      </w: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  <w:t>心小</w:t>
      </w: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学</w:t>
      </w:r>
      <w:r>
        <w:rPr>
          <w:rFonts w:hint="eastAsia" w:ascii="Times New Roman" w:hAnsi="Times New Roman" w:eastAsia="黑体" w:cs="Times New Roman"/>
          <w:snapToGrid/>
          <w:kern w:val="2"/>
          <w:sz w:val="44"/>
          <w:szCs w:val="44"/>
          <w:lang w:val="en-US" w:eastAsia="zh-CN"/>
        </w:rPr>
        <w:t>校</w:t>
      </w:r>
    </w:p>
    <w:p w14:paraId="2018B6C0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napToGrid/>
          <w:kern w:val="2"/>
          <w:sz w:val="44"/>
          <w:szCs w:val="44"/>
          <w:lang w:eastAsia="zh-CN"/>
        </w:rPr>
        <w:t>部门决算</w:t>
      </w:r>
    </w:p>
    <w:p w14:paraId="011F7500">
      <w:pPr>
        <w:pStyle w:val="2"/>
        <w:spacing w:line="242" w:lineRule="auto"/>
      </w:pPr>
    </w:p>
    <w:p w14:paraId="688A0D8F">
      <w:pPr>
        <w:pStyle w:val="2"/>
        <w:spacing w:line="242" w:lineRule="auto"/>
      </w:pPr>
    </w:p>
    <w:p w14:paraId="4B97BCBB">
      <w:pPr>
        <w:pStyle w:val="2"/>
        <w:spacing w:line="242" w:lineRule="auto"/>
      </w:pPr>
    </w:p>
    <w:p w14:paraId="602D776A">
      <w:pPr>
        <w:pStyle w:val="2"/>
        <w:spacing w:line="242" w:lineRule="auto"/>
      </w:pPr>
    </w:p>
    <w:p w14:paraId="4E83DC17">
      <w:pPr>
        <w:pStyle w:val="2"/>
        <w:spacing w:line="242" w:lineRule="auto"/>
      </w:pPr>
    </w:p>
    <w:p w14:paraId="1620C15D">
      <w:pPr>
        <w:pStyle w:val="2"/>
        <w:spacing w:line="242" w:lineRule="auto"/>
      </w:pPr>
    </w:p>
    <w:p w14:paraId="22060816">
      <w:pPr>
        <w:pStyle w:val="2"/>
        <w:spacing w:line="242" w:lineRule="auto"/>
      </w:pPr>
    </w:p>
    <w:p w14:paraId="3169FF9E">
      <w:pPr>
        <w:pStyle w:val="2"/>
        <w:spacing w:line="242" w:lineRule="auto"/>
      </w:pPr>
    </w:p>
    <w:p w14:paraId="5DB4A9D3">
      <w:pPr>
        <w:pStyle w:val="2"/>
        <w:spacing w:line="242" w:lineRule="auto"/>
      </w:pPr>
    </w:p>
    <w:p w14:paraId="6188A247">
      <w:pPr>
        <w:pStyle w:val="2"/>
        <w:spacing w:line="242" w:lineRule="auto"/>
      </w:pPr>
    </w:p>
    <w:p w14:paraId="1FD5DBB4">
      <w:pPr>
        <w:pStyle w:val="2"/>
        <w:spacing w:line="242" w:lineRule="auto"/>
      </w:pPr>
    </w:p>
    <w:p w14:paraId="7123FAD4">
      <w:pPr>
        <w:pStyle w:val="2"/>
        <w:spacing w:line="243" w:lineRule="auto"/>
      </w:pPr>
    </w:p>
    <w:p w14:paraId="21CC0D71">
      <w:pPr>
        <w:pStyle w:val="2"/>
        <w:spacing w:line="243" w:lineRule="auto"/>
      </w:pPr>
    </w:p>
    <w:p w14:paraId="3D1B397E">
      <w:pPr>
        <w:pStyle w:val="2"/>
        <w:spacing w:line="243" w:lineRule="auto"/>
      </w:pPr>
    </w:p>
    <w:p w14:paraId="5D492978">
      <w:pPr>
        <w:pStyle w:val="2"/>
        <w:spacing w:line="243" w:lineRule="auto"/>
      </w:pPr>
    </w:p>
    <w:p w14:paraId="5A77C529">
      <w:pPr>
        <w:pStyle w:val="2"/>
        <w:spacing w:line="243" w:lineRule="auto"/>
      </w:pPr>
    </w:p>
    <w:p w14:paraId="1C0BF8D0">
      <w:pPr>
        <w:pStyle w:val="2"/>
        <w:spacing w:line="243" w:lineRule="auto"/>
      </w:pPr>
    </w:p>
    <w:p w14:paraId="1D37A28E">
      <w:pPr>
        <w:pStyle w:val="2"/>
        <w:spacing w:line="243" w:lineRule="auto"/>
      </w:pPr>
    </w:p>
    <w:p w14:paraId="26278C3F">
      <w:pPr>
        <w:pStyle w:val="2"/>
        <w:spacing w:line="243" w:lineRule="auto"/>
      </w:pPr>
    </w:p>
    <w:p w14:paraId="0C8C7B8D">
      <w:pPr>
        <w:pStyle w:val="2"/>
        <w:spacing w:line="243" w:lineRule="auto"/>
      </w:pPr>
    </w:p>
    <w:p w14:paraId="1ED6914E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 xml:space="preserve">2024 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年 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 xml:space="preserve"> 月</w:t>
      </w:r>
      <w:r>
        <w:rPr>
          <w:rFonts w:hint="eastAsia" w:ascii="仿宋" w:hAnsi="仿宋" w:eastAsia="仿宋" w:cs="Arial"/>
          <w:snapToGrid/>
          <w:kern w:val="2"/>
          <w:sz w:val="32"/>
          <w:szCs w:val="32"/>
          <w:lang w:val="en-US" w:eastAsia="zh-CN"/>
        </w:rPr>
        <w:t>23</w:t>
      </w:r>
      <w:r>
        <w:rPr>
          <w:rFonts w:hint="default" w:ascii="仿宋" w:hAnsi="仿宋" w:eastAsia="仿宋" w:cs="Arial"/>
          <w:snapToGrid/>
          <w:kern w:val="2"/>
          <w:sz w:val="32"/>
          <w:szCs w:val="32"/>
          <w:lang w:eastAsia="zh-CN"/>
        </w:rPr>
        <w:t>日</w:t>
      </w:r>
    </w:p>
    <w:p w14:paraId="43F4A8D9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snapToGrid/>
          <w:kern w:val="2"/>
          <w:sz w:val="44"/>
          <w:szCs w:val="44"/>
          <w:lang w:eastAsia="zh-CN"/>
        </w:rPr>
        <w:sectPr>
          <w:footerReference r:id="rId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8DC17AE">
      <w:pPr>
        <w:pStyle w:val="2"/>
        <w:spacing w:line="289" w:lineRule="auto"/>
      </w:pPr>
    </w:p>
    <w:p w14:paraId="66B1449F">
      <w:pPr>
        <w:pStyle w:val="2"/>
        <w:spacing w:line="290" w:lineRule="auto"/>
      </w:pPr>
    </w:p>
    <w:p w14:paraId="3635358B">
      <w:pPr>
        <w:spacing w:before="140" w:line="223" w:lineRule="auto"/>
        <w:ind w:left="3502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Times New Roman"/>
          <w:snapToGrid/>
          <w:kern w:val="2"/>
          <w:sz w:val="44"/>
          <w:szCs w:val="22"/>
          <w:lang w:eastAsia="zh-CN"/>
        </w:rPr>
        <w:t>目   录</w:t>
      </w:r>
    </w:p>
    <w:p w14:paraId="27B55C5A">
      <w:pPr>
        <w:pStyle w:val="2"/>
        <w:spacing w:line="341" w:lineRule="auto"/>
      </w:pPr>
    </w:p>
    <w:p w14:paraId="183EC639">
      <w:pPr>
        <w:pStyle w:val="2"/>
        <w:spacing w:line="342" w:lineRule="auto"/>
      </w:pPr>
    </w:p>
    <w:p w14:paraId="22238942">
      <w:pPr>
        <w:spacing w:before="101" w:line="223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第一部分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部门概况</w:t>
      </w:r>
    </w:p>
    <w:p w14:paraId="7D1E52FC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一、部门职责</w:t>
      </w:r>
    </w:p>
    <w:p w14:paraId="5DB6AED2">
      <w:pPr>
        <w:spacing w:before="250" w:line="222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二、机构设置及部门决算单位构成</w:t>
      </w:r>
    </w:p>
    <w:p w14:paraId="548DECEB">
      <w:pPr>
        <w:spacing w:before="250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第二部分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年度部门决算表</w:t>
      </w:r>
    </w:p>
    <w:p w14:paraId="15F2EAC2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一、收入支出决算总表</w:t>
      </w:r>
    </w:p>
    <w:p w14:paraId="3E6888F3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二、收入决算表</w:t>
      </w:r>
    </w:p>
    <w:p w14:paraId="58649D7E">
      <w:pPr>
        <w:spacing w:before="249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三、支出决算表</w:t>
      </w:r>
    </w:p>
    <w:p w14:paraId="6E5537FC">
      <w:pPr>
        <w:spacing w:before="250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四、财政拨款收入支出决算总表</w:t>
      </w:r>
    </w:p>
    <w:p w14:paraId="45D4FDAA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五、一般公共预算财政拨款支出决算表</w:t>
      </w:r>
    </w:p>
    <w:p w14:paraId="12554B9C">
      <w:pPr>
        <w:spacing w:before="250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六、一般公共预算财政拨款基本支出决算明细表</w:t>
      </w:r>
    </w:p>
    <w:p w14:paraId="07F5335F">
      <w:pPr>
        <w:spacing w:before="251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七、政府性基金预算财政拨款收入支出决算表</w:t>
      </w:r>
    </w:p>
    <w:p w14:paraId="28484FF4">
      <w:pPr>
        <w:spacing w:before="252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国有资本经营预算财政拨款支出决算表</w:t>
      </w:r>
    </w:p>
    <w:p w14:paraId="4E593281">
      <w:pPr>
        <w:spacing w:before="249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九、财政拨款“三公”经费支出决算表</w:t>
      </w:r>
    </w:p>
    <w:p w14:paraId="49738A68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十、部门预算项目支出绩效自评表</w:t>
      </w:r>
    </w:p>
    <w:p w14:paraId="47A5AD29">
      <w:pPr>
        <w:spacing w:before="249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第三部分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年度部门决算情况说明</w:t>
      </w:r>
    </w:p>
    <w:p w14:paraId="0BB8BDA4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一、收入支出决算总体情况说明</w:t>
      </w:r>
    </w:p>
    <w:p w14:paraId="61F0F718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二、收入决算情况说明</w:t>
      </w:r>
    </w:p>
    <w:p w14:paraId="440B545A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三、支出决算情况说明</w:t>
      </w:r>
    </w:p>
    <w:p w14:paraId="374D8597">
      <w:pPr>
        <w:spacing w:before="249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四、财政拨款收入支出决算总体情况说明</w:t>
      </w:r>
    </w:p>
    <w:p w14:paraId="36F32D46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6DE47465">
      <w:pPr>
        <w:spacing w:before="15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490EEEAD">
      <w:pPr>
        <w:spacing w:before="249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2AE5EF9A">
      <w:pPr>
        <w:spacing w:before="250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七、政府性基金预算财政拨款收入支出决算情况说明</w:t>
      </w:r>
    </w:p>
    <w:p w14:paraId="6F9D939D">
      <w:pPr>
        <w:spacing w:before="251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国有资本经营预算财政拨款支出决算情况说明</w:t>
      </w:r>
    </w:p>
    <w:p w14:paraId="66FA0E3A">
      <w:pPr>
        <w:spacing w:before="250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10A05F20">
      <w:pPr>
        <w:spacing w:before="249" w:line="224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十、绩效评价情况说明</w:t>
      </w:r>
    </w:p>
    <w:p w14:paraId="4AD887C9">
      <w:pPr>
        <w:spacing w:before="248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十一、其他重要事项情况说明</w:t>
      </w:r>
    </w:p>
    <w:p w14:paraId="360DC758">
      <w:pPr>
        <w:spacing w:before="250" w:line="224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第四部分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名词解释</w:t>
      </w:r>
    </w:p>
    <w:p w14:paraId="1E517E09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53D766C">
      <w:pPr>
        <w:pStyle w:val="2"/>
        <w:spacing w:line="328" w:lineRule="auto"/>
      </w:pPr>
    </w:p>
    <w:p w14:paraId="696471FA">
      <w:pPr>
        <w:pStyle w:val="2"/>
        <w:spacing w:line="328" w:lineRule="auto"/>
      </w:pPr>
    </w:p>
    <w:p w14:paraId="00AC6016">
      <w:pPr>
        <w:spacing w:before="189" w:line="443" w:lineRule="exact"/>
        <w:ind w:left="2215"/>
        <w:outlineLvl w:val="0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spacing w:val="1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部门概况</w:t>
      </w:r>
    </w:p>
    <w:p w14:paraId="69F4AA85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6134E371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5B152342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6E4EB18B">
      <w:pPr>
        <w:spacing w:before="101" w:line="224" w:lineRule="auto"/>
        <w:ind w:left="751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一、部门主要职责</w:t>
      </w:r>
    </w:p>
    <w:p w14:paraId="2E25E0EB">
      <w:pPr>
        <w:pStyle w:val="2"/>
        <w:spacing w:line="347" w:lineRule="auto"/>
        <w:rPr>
          <w:rFonts w:hint="default" w:ascii="Times New Roman" w:hAnsi="Times New Roman" w:eastAsia="仿宋_GB2312" w:cs="Times New Roman"/>
        </w:rPr>
      </w:pPr>
    </w:p>
    <w:p w14:paraId="770E0AAC">
      <w:pPr>
        <w:spacing w:before="101" w:line="218" w:lineRule="exact"/>
        <w:ind w:left="102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8"/>
          <w:position w:val="-13"/>
          <w:sz w:val="31"/>
          <w:szCs w:val="31"/>
        </w:rPr>
        <w:t>……</w:t>
      </w:r>
    </w:p>
    <w:p w14:paraId="3106BE4D">
      <w:pPr>
        <w:ind w:firstLine="640" w:firstLineChars="200"/>
        <w:rPr>
          <w:rStyle w:val="9"/>
          <w:rFonts w:hint="eastAsia" w:ascii="仿宋" w:hAnsi="仿宋" w:eastAsia="仿宋" w:cs="仿宋"/>
          <w:sz w:val="32"/>
          <w:szCs w:val="32"/>
        </w:rPr>
      </w:pPr>
      <w:r>
        <w:rPr>
          <w:rStyle w:val="9"/>
          <w:rFonts w:hint="eastAsia" w:ascii="仿宋" w:hAnsi="仿宋" w:eastAsia="仿宋" w:cs="仿宋"/>
          <w:sz w:val="32"/>
          <w:szCs w:val="32"/>
        </w:rPr>
        <w:t>（一）按照《中华人民共和国教育法》的有关要求，承担</w:t>
      </w:r>
      <w:r>
        <w:rPr>
          <w:rStyle w:val="9"/>
          <w:rFonts w:hint="eastAsia" w:ascii="仿宋" w:hAnsi="仿宋" w:eastAsia="仿宋" w:cs="仿宋"/>
          <w:sz w:val="32"/>
          <w:szCs w:val="32"/>
          <w:lang w:val="en-US" w:eastAsia="zh-CN"/>
        </w:rPr>
        <w:t>小学</w:t>
      </w:r>
      <w:r>
        <w:rPr>
          <w:rStyle w:val="9"/>
          <w:rFonts w:hint="eastAsia" w:ascii="仿宋" w:hAnsi="仿宋" w:eastAsia="仿宋" w:cs="仿宋"/>
          <w:sz w:val="32"/>
          <w:szCs w:val="32"/>
        </w:rPr>
        <w:t>教育教学任务，实现其教育教学目标；负责对受教育者德、智、体、美、劳等</w:t>
      </w:r>
      <w:r>
        <w:rPr>
          <w:rStyle w:val="9"/>
          <w:rFonts w:hint="eastAsia" w:ascii="仿宋" w:hAnsi="仿宋" w:eastAsia="仿宋" w:cs="仿宋"/>
          <w:sz w:val="32"/>
          <w:szCs w:val="32"/>
          <w:lang w:eastAsia="zh-CN"/>
        </w:rPr>
        <w:t>诸</w:t>
      </w:r>
      <w:r>
        <w:rPr>
          <w:rStyle w:val="9"/>
          <w:rFonts w:hint="eastAsia" w:ascii="仿宋" w:hAnsi="仿宋" w:eastAsia="仿宋" w:cs="仿宋"/>
          <w:sz w:val="32"/>
          <w:szCs w:val="32"/>
        </w:rPr>
        <w:t xml:space="preserve">方面进行系统教育、训练和培养；负责加强师资队伍建设，开展教职工思想政治教育、业务进修和教育科研活动，不断提高教职工队伍素质；负责管理学校校产、设备、经费等，努力改善办学条件。 </w:t>
      </w:r>
    </w:p>
    <w:p w14:paraId="21C0A5DC">
      <w:pPr>
        <w:ind w:firstLine="640" w:firstLineChars="200"/>
        <w:rPr>
          <w:rFonts w:hint="eastAsia" w:ascii="仿宋" w:hAnsi="仿宋" w:eastAsia="仿宋" w:cs="仿宋"/>
          <w:sz w:val="48"/>
          <w:szCs w:val="28"/>
        </w:rPr>
      </w:pPr>
      <w:r>
        <w:rPr>
          <w:rStyle w:val="9"/>
          <w:rFonts w:hint="eastAsia" w:ascii="仿宋" w:hAnsi="仿宋" w:eastAsia="仿宋" w:cs="仿宋"/>
          <w:sz w:val="32"/>
          <w:szCs w:val="32"/>
        </w:rPr>
        <w:t>（二）完成市委、市政府交办的其他工作。</w:t>
      </w:r>
    </w:p>
    <w:p w14:paraId="48DFBE20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二、机构设置及部门决算单位构成</w:t>
      </w:r>
    </w:p>
    <w:p w14:paraId="5BAF6D5A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szCs w:val="30"/>
        </w:rPr>
        <w:t>榆树市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于家镇向阳中心小学校</w:t>
      </w:r>
      <w:r>
        <w:rPr>
          <w:rFonts w:hint="eastAsia" w:ascii="仿宋" w:hAnsi="仿宋" w:eastAsia="仿宋"/>
          <w:sz w:val="32"/>
          <w:szCs w:val="30"/>
          <w:lang w:eastAsia="zh-CN"/>
        </w:rPr>
        <w:t>无</w:t>
      </w:r>
      <w:r>
        <w:rPr>
          <w:rFonts w:hint="eastAsia" w:ascii="仿宋" w:hAnsi="仿宋" w:eastAsia="仿宋"/>
          <w:sz w:val="32"/>
        </w:rPr>
        <w:t>内设机构。</w:t>
      </w:r>
    </w:p>
    <w:p w14:paraId="67403F49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纳入</w:t>
      </w:r>
      <w:r>
        <w:rPr>
          <w:rFonts w:hint="eastAsia" w:ascii="仿宋" w:hAnsi="仿宋" w:eastAsia="仿宋"/>
          <w:sz w:val="32"/>
          <w:szCs w:val="30"/>
        </w:rPr>
        <w:t>榆树市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于家镇向阳中心小学校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>度部门决算编制范围的单位包括：</w:t>
      </w:r>
    </w:p>
    <w:p w14:paraId="45343D23">
      <w:pPr>
        <w:ind w:firstLine="640" w:firstLineChars="200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szCs w:val="30"/>
        </w:rPr>
        <w:t>榆树市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于家镇向阳中心小学校</w:t>
      </w:r>
    </w:p>
    <w:p w14:paraId="42FB684D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2.……</w:t>
      </w:r>
    </w:p>
    <w:p w14:paraId="57ED1F0A">
      <w:pPr>
        <w:ind w:firstLine="640" w:firstLineChars="200"/>
        <w:rPr>
          <w:rFonts w:hint="eastAsia" w:ascii="仿宋" w:hAnsi="仿宋" w:eastAsia="仿宋"/>
          <w:sz w:val="44"/>
        </w:rPr>
      </w:pPr>
      <w:r>
        <w:rPr>
          <w:rFonts w:hint="eastAsia" w:ascii="仿宋" w:hAnsi="仿宋" w:eastAsia="仿宋"/>
          <w:sz w:val="32"/>
        </w:rPr>
        <w:t>3.……</w:t>
      </w:r>
    </w:p>
    <w:p w14:paraId="4EC7AA7D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01CB53D0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12D803E6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第二部分</w:t>
      </w:r>
      <w:r>
        <w:rPr>
          <w:rFonts w:hint="default" w:ascii="Times New Roman" w:hAnsi="Times New Roman" w:eastAsia="仿宋_GB2312" w:cs="Times New Roman"/>
          <w:b/>
          <w:bCs/>
          <w:spacing w:val="111"/>
          <w:sz w:val="44"/>
          <w:szCs w:val="44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3"/>
          <w:szCs w:val="43"/>
        </w:rPr>
        <w:t>2023</w:t>
      </w:r>
      <w:r>
        <w:rPr>
          <w:rFonts w:hint="default" w:ascii="Times New Roman" w:hAnsi="Times New Roman" w:eastAsia="仿宋_GB2312" w:cs="Times New Roman"/>
          <w:b/>
          <w:bCs/>
          <w:spacing w:val="-103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年度部门决算表</w:t>
      </w:r>
    </w:p>
    <w:p w14:paraId="56D5FF6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99A49F9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1D04E47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4C6FFE1">
      <w:pPr>
        <w:spacing w:before="100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一、收入支出决算总表</w:t>
      </w:r>
    </w:p>
    <w:p w14:paraId="647E8A9E">
      <w:pPr>
        <w:spacing w:before="101" w:line="5918" w:lineRule="exact"/>
        <w:ind w:firstLine="19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1455" cy="2579370"/>
            <wp:effectExtent l="0" t="0" r="4445" b="11430"/>
            <wp:docPr id="1" name="图片 1" descr="2023年度部门决算公开表样_g01收入支出决算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年度部门决算公开表样_g01收入支出决算总表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91455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CF5A5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21D7DED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5DA94C37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二、收入决算表</w:t>
      </w:r>
    </w:p>
    <w:p w14:paraId="7DAAE0E8">
      <w:pPr>
        <w:spacing w:before="209" w:line="5702" w:lineRule="exact"/>
        <w:ind w:firstLine="32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3040" cy="2519045"/>
            <wp:effectExtent l="0" t="0" r="3810" b="14605"/>
            <wp:docPr id="2" name="图片 2" descr="2023年度部门决算公开表样_g02收入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3年度部门决算公开表样_g02收入决算表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30FB1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E763445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2C74B845">
      <w:pPr>
        <w:pStyle w:val="2"/>
        <w:spacing w:line="262" w:lineRule="auto"/>
        <w:rPr>
          <w:rFonts w:hint="default" w:ascii="Times New Roman" w:hAnsi="Times New Roman" w:eastAsia="仿宋_GB2312" w:cs="Times New Roman"/>
        </w:rPr>
      </w:pPr>
    </w:p>
    <w:p w14:paraId="1405B62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52B29CB1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F108625">
      <w:pPr>
        <w:spacing w:before="101" w:line="224" w:lineRule="auto"/>
        <w:ind w:left="674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三、支出决算表</w:t>
      </w:r>
    </w:p>
    <w:p w14:paraId="3382C71B">
      <w:pPr>
        <w:spacing w:before="151" w:line="5818" w:lineRule="exact"/>
        <w:ind w:firstLine="240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93360" cy="2754630"/>
            <wp:effectExtent l="0" t="0" r="2540" b="7620"/>
            <wp:docPr id="3" name="图片 3" descr="2023年度部门决算公开表样_g03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3年度部门决算公开表样_g03支出决算表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B048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5B79A916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2075DD5A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77B33F4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77BAD87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4D97E2E3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四、财政拨款收入支出决算总表</w:t>
      </w:r>
    </w:p>
    <w:p w14:paraId="02FFDFE5">
      <w:pPr>
        <w:pStyle w:val="2"/>
        <w:spacing w:line="245" w:lineRule="auto"/>
        <w:rPr>
          <w:rFonts w:hint="default" w:ascii="Times New Roman" w:hAnsi="Times New Roman" w:eastAsia="仿宋_GB2312" w:cs="Times New Roman"/>
        </w:rPr>
      </w:pPr>
    </w:p>
    <w:p w14:paraId="0587E358">
      <w:pPr>
        <w:spacing w:line="4378" w:lineRule="exact"/>
        <w:ind w:firstLine="1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3675" cy="2176780"/>
            <wp:effectExtent l="0" t="0" r="3175" b="13970"/>
            <wp:docPr id="4" name="图片 4" descr="2023年度部门决算公开表样_g04财政拨款收入支出决算总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3年度部门决算公开表样_g04财政拨款收入支出决算总表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07DA9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7030E5D5">
      <w:pPr>
        <w:spacing w:before="100"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8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1F3DEA1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23E7371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6050C6E">
      <w:pPr>
        <w:spacing w:before="100" w:line="224" w:lineRule="auto"/>
        <w:ind w:left="67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五、一般公共预算财政拨款支出决算表</w:t>
      </w:r>
    </w:p>
    <w:p w14:paraId="44A3E5C6">
      <w:pPr>
        <w:spacing w:before="229" w:line="4102" w:lineRule="exact"/>
        <w:ind w:firstLine="14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8120" cy="2865120"/>
            <wp:effectExtent l="0" t="0" r="17780" b="11430"/>
            <wp:docPr id="5" name="图片 5" descr="2023年度部门决算公开表样_g05一般公共预算财政拨款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3年度部门决算公开表样_g05一般公共预算财政拨款支出决算表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51C58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36A4FBD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238BFA7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2E199CE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5DCCA73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FF11184">
      <w:pPr>
        <w:spacing w:before="100" w:line="224" w:lineRule="auto"/>
        <w:ind w:left="67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六、一般公共预算财政拨款基本支出决算明细表</w:t>
      </w:r>
    </w:p>
    <w:p w14:paraId="2ACC0C1B">
      <w:pPr>
        <w:spacing w:before="234" w:line="5964" w:lineRule="exact"/>
        <w:ind w:firstLine="237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5580" cy="3134995"/>
            <wp:effectExtent l="0" t="0" r="1270" b="8255"/>
            <wp:docPr id="6" name="图片 6" descr="2023年度部门决算公开表样_g06一般公共预算财政拨款基本支出决算明细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3年度部门决算公开表样_g06一般公共预算财政拨款基本支出决算明细表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8D1B1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4EE00500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388B6C52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5B140DF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7C053C9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9907CA8">
      <w:pPr>
        <w:spacing w:before="101" w:line="224" w:lineRule="auto"/>
        <w:ind w:left="666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七、政府性基金预算财政拨款收入支出决算表</w:t>
      </w:r>
    </w:p>
    <w:p w14:paraId="11F74E36">
      <w:pPr>
        <w:spacing w:before="235" w:line="4714" w:lineRule="exact"/>
        <w:ind w:firstLine="240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78755" cy="2651125"/>
            <wp:effectExtent l="0" t="0" r="17145" b="15875"/>
            <wp:docPr id="12" name="图片 12" descr="2023年度部门决算公开表样_g07政府性基金预算财政拨款收入支出决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23年度部门决算公开表样_g07政府性基金预算财政拨款收入支出决算表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265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1173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37958CB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186DA18B">
      <w:pPr>
        <w:pStyle w:val="2"/>
        <w:spacing w:line="271" w:lineRule="auto"/>
        <w:rPr>
          <w:rFonts w:hint="default" w:ascii="Times New Roman" w:hAnsi="Times New Roman" w:eastAsia="仿宋_GB2312" w:cs="Times New Roman"/>
        </w:rPr>
      </w:pPr>
    </w:p>
    <w:p w14:paraId="68FD1ED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B2CBEAF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0E10C43E">
      <w:pPr>
        <w:spacing w:before="101" w:line="224" w:lineRule="auto"/>
        <w:ind w:left="66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八、国有资本经营预算财政拨款支出决算表</w:t>
      </w:r>
    </w:p>
    <w:p w14:paraId="45E2B815">
      <w:pPr>
        <w:spacing w:before="182" w:line="4817" w:lineRule="exact"/>
        <w:ind w:firstLine="28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96"/>
        </w:rPr>
        <w:drawing>
          <wp:inline distT="0" distB="0" distL="0" distR="0">
            <wp:extent cx="5254625" cy="305816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55259" cy="305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00DE4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9D71A80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6461A985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44EBBC8B">
      <w:pPr>
        <w:spacing w:before="101" w:line="364" w:lineRule="auto"/>
        <w:ind w:left="24" w:right="13" w:firstLine="650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br w:type="textWrapping"/>
      </w:r>
    </w:p>
    <w:p w14:paraId="495BE596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5BF3284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九、财政拨款“三公”经费支出决算表</w:t>
      </w:r>
    </w:p>
    <w:p w14:paraId="278AA62F">
      <w:pPr>
        <w:spacing w:before="96" w:line="5302" w:lineRule="exact"/>
        <w:ind w:firstLine="23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06"/>
        </w:rPr>
        <w:drawing>
          <wp:inline distT="0" distB="0" distL="0" distR="0">
            <wp:extent cx="4991100" cy="336677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EAD5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224E53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DE4AD14">
      <w:pPr>
        <w:spacing w:before="100" w:line="224" w:lineRule="auto"/>
        <w:ind w:left="30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十、部门预算项目支出绩效自评表</w:t>
      </w:r>
    </w:p>
    <w:p w14:paraId="58930D1D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437F56F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06A97532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5775F52E">
      <w:pPr>
        <w:spacing w:line="9847" w:lineRule="exact"/>
        <w:ind w:firstLine="29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position w:val="-196"/>
        </w:rPr>
        <w:drawing>
          <wp:inline distT="0" distB="0" distL="0" distR="0">
            <wp:extent cx="4912995" cy="6252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13629" cy="625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4AC45">
      <w:pPr>
        <w:spacing w:line="9847" w:lineRule="exact"/>
        <w:rPr>
          <w:rFonts w:hint="default" w:ascii="Times New Roman" w:hAnsi="Times New Roman" w:eastAsia="仿宋_GB2312" w:cs="Times New Roman"/>
        </w:rPr>
        <w:sectPr>
          <w:footerReference r:id="rId9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531689E">
      <w:pPr>
        <w:spacing w:before="225" w:line="443" w:lineRule="exact"/>
        <w:ind w:left="482"/>
        <w:outlineLvl w:val="0"/>
        <w:rPr>
          <w:rFonts w:hint="default" w:ascii="Times New Roman" w:hAnsi="Times New Roman" w:eastAsia="仿宋_GB2312" w:cs="Times New Roman"/>
          <w:b/>
          <w:bCs/>
          <w:sz w:val="43"/>
          <w:szCs w:val="43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第三部分</w:t>
      </w:r>
      <w:r>
        <w:rPr>
          <w:rFonts w:hint="default" w:ascii="Times New Roman" w:hAnsi="Times New Roman" w:eastAsia="仿宋_GB2312" w:cs="Times New Roman"/>
          <w:b/>
          <w:bCs/>
          <w:spacing w:val="103"/>
          <w:position w:val="-2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2023年度部门决算情况说明</w:t>
      </w:r>
    </w:p>
    <w:p w14:paraId="1583DF46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4B5E6447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19128DE2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2D59620E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一、收入支出决算总体情况说明</w:t>
      </w:r>
    </w:p>
    <w:p w14:paraId="50ACBFA3">
      <w:pPr>
        <w:spacing w:before="248" w:line="362" w:lineRule="auto"/>
        <w:ind w:left="36" w:right="113" w:firstLine="634"/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年度收、支总计均为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2030.71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万元。与</w:t>
      </w:r>
      <w:r>
        <w:rPr>
          <w:rFonts w:hint="default" w:ascii="Times New Roman" w:hAnsi="Times New Roman" w:eastAsia="仿宋_GB2312" w:cs="Times New Roman"/>
          <w:spacing w:val="-3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年度相比，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收、支总计各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减少4.81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下降0.2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要原因：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清算中人职业年金。</w:t>
      </w:r>
    </w:p>
    <w:p w14:paraId="4D4BC01D">
      <w:pPr>
        <w:spacing w:before="248" w:line="362" w:lineRule="auto"/>
        <w:ind w:right="113"/>
        <w:rPr>
          <w:rFonts w:hint="default" w:ascii="Times New Roman" w:hAnsi="Times New Roman" w:eastAsia="仿宋_GB2312" w:cs="Times New Roman"/>
          <w:spacing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drawing>
          <wp:inline distT="0" distB="0" distL="114300" distR="114300">
            <wp:extent cx="5256530" cy="2988310"/>
            <wp:effectExtent l="5080" t="4445" r="15240" b="17145"/>
            <wp:docPr id="7" name="图表 7" descr="7b0a202020202263686172745265734964223a20223435363833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46D36E01">
      <w:pPr>
        <w:pStyle w:val="2"/>
        <w:spacing w:line="260" w:lineRule="auto"/>
        <w:rPr>
          <w:rFonts w:hint="default" w:ascii="Times New Roman" w:hAnsi="Times New Roman" w:eastAsia="仿宋_GB2312" w:cs="Times New Roman"/>
        </w:rPr>
      </w:pPr>
    </w:p>
    <w:p w14:paraId="56C1F422">
      <w:pPr>
        <w:spacing w:before="50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二、收入决算情况说明</w:t>
      </w:r>
    </w:p>
    <w:p w14:paraId="7F512259">
      <w:pPr>
        <w:spacing w:before="253" w:line="368" w:lineRule="auto"/>
        <w:ind w:left="23" w:firstLine="644"/>
        <w:jc w:val="both"/>
        <w:rPr>
          <w:rFonts w:hint="default" w:ascii="Times New Roman" w:hAnsi="Times New Roman" w:eastAsia="仿宋_GB2312" w:cs="Times New Roman"/>
          <w:spacing w:val="0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本年收入合计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2030.71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万元，其中：财政拨款收入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2029.77</w:t>
      </w:r>
      <w:r>
        <w:rPr>
          <w:rFonts w:hint="default" w:ascii="Times New Roman" w:hAnsi="Times New Roman" w:eastAsia="仿宋_GB2312" w:cs="Times New Roman"/>
          <w:spacing w:val="2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上年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减少4.81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下降0.2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上年度清算中人职业年金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级补助收入</w:t>
      </w:r>
      <w:r>
        <w:rPr>
          <w:rFonts w:hint="default" w:ascii="Times New Roman" w:hAnsi="Times New Roman" w:eastAsia="仿宋_GB2312" w:cs="Times New Roman"/>
          <w:spacing w:val="4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……；事业收入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）万元，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……；经营收入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 万元，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上年增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加（减少）万元，增长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……；附属单位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上缴收入 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……；其他收入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0.16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增加0.01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增长40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银行存款利息增加</w:t>
      </w:r>
      <w:r>
        <w:rPr>
          <w:rFonts w:hint="default" w:ascii="Times New Roman" w:hAnsi="Times New Roman" w:eastAsia="仿宋_GB2312" w:cs="Times New Roman"/>
          <w:spacing w:val="0"/>
          <w:sz w:val="31"/>
          <w:szCs w:val="31"/>
        </w:rPr>
        <w:t>。</w:t>
      </w:r>
    </w:p>
    <w:p w14:paraId="37E4E27C">
      <w:pPr>
        <w:spacing w:before="253" w:line="368" w:lineRule="auto"/>
        <w:jc w:val="both"/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8" name="图表 8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4E3F8255">
      <w:pPr>
        <w:spacing w:before="158" w:line="224" w:lineRule="auto"/>
        <w:ind w:left="6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三、支出决算情况说明</w:t>
      </w:r>
    </w:p>
    <w:p w14:paraId="5D02CC71">
      <w:pPr>
        <w:spacing w:before="251" w:line="368" w:lineRule="auto"/>
        <w:ind w:left="21" w:firstLine="645"/>
        <w:rPr>
          <w:rFonts w:hint="default" w:ascii="Times New Roman" w:hAnsi="Times New Roman" w:eastAsia="仿宋_GB2312" w:cs="Times New Roman"/>
          <w:spacing w:val="-2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本年支出合计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2030.71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万元，其中：基本支出</w:t>
      </w:r>
      <w:r>
        <w:rPr>
          <w:rFonts w:hint="eastAsia" w:ascii="Times New Roman" w:hAnsi="Times New Roman" w:eastAsia="仿宋_GB2312" w:cs="Times New Roman"/>
          <w:spacing w:val="24"/>
          <w:sz w:val="31"/>
          <w:szCs w:val="31"/>
          <w:lang w:val="en-US" w:eastAsia="zh-CN"/>
        </w:rPr>
        <w:t>1961.68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减少73.81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下降3.6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%，主要是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上一年度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；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项目支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出</w:t>
      </w:r>
      <w:r>
        <w:rPr>
          <w:rFonts w:hint="default" w:ascii="Times New Roman" w:hAnsi="Times New Roman" w:eastAsia="仿宋_GB2312" w:cs="Times New Roman"/>
          <w:spacing w:val="47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7"/>
          <w:sz w:val="31"/>
          <w:szCs w:val="31"/>
          <w:lang w:val="en-US" w:eastAsia="zh-CN"/>
        </w:rPr>
        <w:t>69.03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69.03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%，主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要是</w:t>
      </w:r>
      <w:r>
        <w:rPr>
          <w:rFonts w:hint="eastAsia" w:ascii="Times New Roman" w:hAnsi="Times New Roman" w:eastAsia="仿宋_GB2312" w:cs="Times New Roman"/>
          <w:spacing w:val="0"/>
          <w:sz w:val="31"/>
          <w:szCs w:val="31"/>
          <w:lang w:val="en-US" w:eastAsia="zh-CN"/>
        </w:rPr>
        <w:t>增加校舍维修项目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；上缴上级支出 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；经营支出</w:t>
      </w:r>
      <w:r>
        <w:rPr>
          <w:rFonts w:hint="default" w:ascii="Times New Roman" w:hAnsi="Times New Roman" w:eastAsia="仿宋_GB2312" w:cs="Times New Roman"/>
          <w:spacing w:val="46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6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%，主要是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；对附属单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位补助支出</w:t>
      </w:r>
      <w:r>
        <w:rPr>
          <w:rFonts w:hint="default" w:ascii="Times New Roman" w:hAnsi="Times New Roman" w:eastAsia="仿宋_GB2312" w:cs="Times New Roman"/>
          <w:spacing w:val="45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4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……。</w:t>
      </w:r>
    </w:p>
    <w:p w14:paraId="7CE7B491">
      <w:pPr>
        <w:spacing w:before="251" w:line="368" w:lineRule="auto"/>
        <w:rPr>
          <w:rFonts w:hint="eastAsia" w:ascii="Times New Roman" w:hAnsi="Times New Roman" w:eastAsia="仿宋_GB2312" w:cs="Times New Roman"/>
          <w:spacing w:val="-2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9" name="图表 9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0191EBC9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13A060AC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四、财政拨款收入支出决算总体情况说明</w:t>
      </w:r>
    </w:p>
    <w:p w14:paraId="4B3BF637">
      <w:pPr>
        <w:spacing w:before="248" w:line="362" w:lineRule="auto"/>
        <w:ind w:left="23" w:right="8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年度财政拨款收、支总计均为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 xml:space="preserve">2030.55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万元，与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年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相比，财政拨款收、支总计各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减少4.86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 万元，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下降0.2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%。主要原因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清算退休中人职业年金。</w:t>
      </w:r>
    </w:p>
    <w:p w14:paraId="186B7246">
      <w:pPr>
        <w:pStyle w:val="2"/>
        <w:spacing w:line="285" w:lineRule="auto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lang w:eastAsia="zh-CN"/>
        </w:rPr>
        <w:drawing>
          <wp:inline distT="0" distB="0" distL="114300" distR="114300">
            <wp:extent cx="5256530" cy="3093720"/>
            <wp:effectExtent l="4445" t="4445" r="15875" b="6985"/>
            <wp:docPr id="10" name="图表 10" descr="7b0a202020202263686172745265734964223a202234353638333034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061B836E">
      <w:pPr>
        <w:pStyle w:val="2"/>
        <w:spacing w:line="286" w:lineRule="auto"/>
        <w:rPr>
          <w:rFonts w:hint="default" w:ascii="Times New Roman" w:hAnsi="Times New Roman" w:eastAsia="仿宋_GB2312" w:cs="Times New Roman"/>
        </w:rPr>
      </w:pPr>
    </w:p>
    <w:p w14:paraId="1F370688">
      <w:pPr>
        <w:spacing w:before="101" w:line="224" w:lineRule="auto"/>
        <w:ind w:left="67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23C04410">
      <w:pPr>
        <w:spacing w:before="248" w:line="223" w:lineRule="auto"/>
        <w:ind w:left="662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一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）一般公共预算财政拨款支出决算总体情况</w:t>
      </w:r>
    </w:p>
    <w:p w14:paraId="3DBECA28">
      <w:pPr>
        <w:spacing w:line="240" w:lineRule="auto"/>
        <w:ind w:left="0" w:firstLine="636" w:firstLineChars="20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年度一般公共预算财政拨款支出2029.77万元，占本年支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出合计的  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%。与 2022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年度相比，一般公共预算财政拨款支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增加3.58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万元，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增长0.2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 xml:space="preserve">  %。主要原因：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-53"/>
          <w:sz w:val="31"/>
          <w:szCs w:val="31"/>
          <w:lang w:val="en-US" w:eastAsia="zh-CN"/>
        </w:rPr>
        <w:t>上一年度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清算退休中人职业年金。</w:t>
      </w:r>
    </w:p>
    <w:p w14:paraId="1A1A7C0A">
      <w:pPr>
        <w:spacing w:before="49" w:line="356" w:lineRule="auto"/>
        <w:ind w:right="92"/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2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11" name="图表 11" descr="7b0a202020202263686172745265734964223a20223230343732303435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5244FAD3">
      <w:pPr>
        <w:spacing w:before="51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一般公共预算财政拨款支出决算结构情况</w:t>
      </w:r>
    </w:p>
    <w:p w14:paraId="3B06312C">
      <w:pPr>
        <w:spacing w:before="251" w:line="364" w:lineRule="auto"/>
        <w:ind w:left="68" w:right="7" w:firstLine="60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2030.55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万元，主要用于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以下方面：教育支出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1569.59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，占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77.3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 xml:space="preserve"> %；社会保障和就业支出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250.02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12.3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卫生健康支出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89.03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万元，占 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4.4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住房保障支出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121.13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</w:p>
    <w:p w14:paraId="5B68D5D0">
      <w:pPr>
        <w:spacing w:before="49" w:line="356" w:lineRule="auto"/>
        <w:ind w:right="91"/>
        <w:rPr>
          <w:rFonts w:hint="eastAsia" w:ascii="Times New Roman" w:hAnsi="Times New Roman" w:eastAsia="仿宋_GB2312" w:cs="Times New Roman"/>
          <w:color w:val="FF0000"/>
          <w:spacing w:val="4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color w:val="FF0000"/>
          <w:spacing w:val="4"/>
          <w:sz w:val="31"/>
          <w:szCs w:val="31"/>
          <w:lang w:eastAsia="zh-CN"/>
        </w:rPr>
        <w:drawing>
          <wp:inline distT="0" distB="0" distL="114300" distR="114300">
            <wp:extent cx="5256530" cy="2988310"/>
            <wp:effectExtent l="5080" t="4445" r="15240" b="55245"/>
            <wp:docPr id="15" name="图表 15" descr="7b0a202020202263686172745265734964223a20223230343736343637220a7d0a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60312B63">
      <w:pPr>
        <w:spacing w:before="49" w:line="356" w:lineRule="auto"/>
        <w:ind w:right="91" w:firstLine="638" w:firstLineChars="20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一般公共预算财政拨款支出决算具体情况</w:t>
      </w:r>
    </w:p>
    <w:p w14:paraId="1DF218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202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年度一般</w:t>
      </w:r>
      <w:r>
        <w:rPr>
          <w:rFonts w:ascii="仿宋" w:hAnsi="仿宋" w:eastAsia="仿宋"/>
          <w:sz w:val="32"/>
          <w:szCs w:val="30"/>
        </w:rPr>
        <w:t>公共预算</w:t>
      </w:r>
      <w:r>
        <w:rPr>
          <w:rFonts w:hint="eastAsia" w:ascii="仿宋" w:hAnsi="仿宋" w:eastAsia="仿宋"/>
          <w:sz w:val="32"/>
          <w:szCs w:val="30"/>
        </w:rPr>
        <w:t>财政拨款支出年初预算为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2030.55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2030.55</w:t>
      </w:r>
      <w:r>
        <w:rPr>
          <w:rFonts w:hint="eastAsia" w:ascii="仿宋" w:hAnsi="仿宋" w:eastAsia="仿宋"/>
          <w:sz w:val="32"/>
          <w:szCs w:val="30"/>
        </w:rPr>
        <w:t>万元，完成年初预算的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0"/>
        </w:rPr>
        <w:t>%。其中：</w:t>
      </w:r>
    </w:p>
    <w:p w14:paraId="4C1D7F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</w:rPr>
        <w:t>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教育</w:t>
      </w:r>
      <w:r>
        <w:rPr>
          <w:rFonts w:hint="eastAsia" w:ascii="仿宋" w:hAnsi="仿宋" w:eastAsia="仿宋"/>
          <w:sz w:val="32"/>
          <w:szCs w:val="30"/>
        </w:rPr>
        <w:t>支出年初预算为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1569.59</w:t>
      </w:r>
      <w:r>
        <w:rPr>
          <w:rFonts w:hint="eastAsia" w:ascii="仿宋" w:hAnsi="仿宋" w:eastAsia="仿宋"/>
          <w:sz w:val="32"/>
          <w:szCs w:val="30"/>
        </w:rPr>
        <w:t>万元，支出决算为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1569.59</w:t>
      </w:r>
      <w:r>
        <w:rPr>
          <w:rFonts w:hint="eastAsia" w:ascii="仿宋" w:hAnsi="仿宋" w:eastAsia="仿宋"/>
          <w:sz w:val="32"/>
          <w:szCs w:val="30"/>
        </w:rPr>
        <w:t>万元，完成年初预算的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0"/>
        </w:rPr>
        <w:t xml:space="preserve"> %。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462679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社会保障和就业支出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250.02万元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250.02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7F7664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0"/>
        </w:rPr>
        <w:t>.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卫生健康支出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89.03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89.03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1FC5C1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  <w:lang w:val="en-US" w:eastAsia="zh-CN"/>
        </w:rPr>
        <w:t>4.住房保障支出</w:t>
      </w:r>
      <w:r>
        <w:rPr>
          <w:rFonts w:hint="eastAsia" w:ascii="仿宋" w:hAnsi="仿宋" w:eastAsia="仿宋"/>
          <w:sz w:val="32"/>
          <w:szCs w:val="30"/>
        </w:rPr>
        <w:t>预算</w:t>
      </w:r>
      <w:r>
        <w:rPr>
          <w:rFonts w:hint="eastAsia" w:ascii="仿宋" w:hAnsi="仿宋" w:eastAsia="仿宋"/>
          <w:sz w:val="32"/>
          <w:szCs w:val="30"/>
          <w:lang w:eastAsia="zh-CN"/>
        </w:rPr>
        <w:t>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121.13</w:t>
      </w:r>
      <w:r>
        <w:rPr>
          <w:rFonts w:hint="eastAsia" w:ascii="仿宋" w:hAnsi="仿宋" w:eastAsia="仿宋"/>
          <w:sz w:val="32"/>
          <w:szCs w:val="30"/>
          <w:lang w:val="en-US" w:eastAsia="zh-CN"/>
        </w:rPr>
        <w:t>万元</w:t>
      </w:r>
      <w:r>
        <w:rPr>
          <w:rFonts w:hint="eastAsia" w:ascii="仿宋" w:hAnsi="仿宋" w:eastAsia="仿宋"/>
          <w:sz w:val="32"/>
          <w:szCs w:val="30"/>
        </w:rPr>
        <w:t>，支出决算为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121.13</w:t>
      </w:r>
      <w:r>
        <w:rPr>
          <w:rFonts w:hint="eastAsia" w:ascii="仿宋" w:hAnsi="仿宋" w:eastAsia="仿宋"/>
          <w:sz w:val="32"/>
          <w:szCs w:val="30"/>
        </w:rPr>
        <w:t>万元，</w:t>
      </w:r>
      <w:r>
        <w:rPr>
          <w:rFonts w:hint="eastAsia" w:ascii="仿宋" w:hAnsi="仿宋" w:eastAsia="仿宋"/>
          <w:sz w:val="32"/>
          <w:szCs w:val="30"/>
          <w:lang w:eastAsia="zh-CN"/>
        </w:rPr>
        <w:t>完成本年</w:t>
      </w:r>
      <w:r>
        <w:rPr>
          <w:rFonts w:hint="eastAsia" w:ascii="仿宋" w:hAnsi="仿宋" w:eastAsia="仿宋"/>
          <w:sz w:val="32"/>
          <w:szCs w:val="30"/>
        </w:rPr>
        <w:t>预算。</w:t>
      </w:r>
    </w:p>
    <w:p w14:paraId="4AE11DE3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1E5DC387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7265BD0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E7F4F2E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pacing w:val="8"/>
          <w:sz w:val="31"/>
          <w:szCs w:val="31"/>
        </w:rPr>
      </w:pPr>
    </w:p>
    <w:p w14:paraId="4B8F5F5C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5DC74B25">
      <w:pPr>
        <w:spacing w:before="247" w:line="357" w:lineRule="auto"/>
        <w:ind w:left="64" w:right="96" w:firstLine="60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2023年度一般公共预算财政拨款基本支出</w:t>
      </w:r>
      <w:r>
        <w:rPr>
          <w:rFonts w:hint="eastAsia" w:ascii="Times New Roman" w:hAnsi="Times New Roman" w:eastAsia="仿宋_GB2312" w:cs="Times New Roman"/>
          <w:spacing w:val="33"/>
          <w:sz w:val="31"/>
          <w:szCs w:val="31"/>
          <w:lang w:val="en-US" w:eastAsia="zh-CN"/>
        </w:rPr>
        <w:t>1960.75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万元，其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0"/>
          <w:sz w:val="31"/>
          <w:szCs w:val="31"/>
        </w:rPr>
        <w:t>中：</w:t>
      </w:r>
    </w:p>
    <w:p w14:paraId="746AF25E">
      <w:pPr>
        <w:spacing w:before="53" w:line="367" w:lineRule="auto"/>
        <w:ind w:left="29" w:right="98" w:firstLine="64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人员经费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1869.93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，主要包括：基本工资、津贴补贴、奖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金、伙食补助费、绩效工资、机关事业单位基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本养老保险缴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费、职业年金缴费、职工基本医疗保险缴费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、公务员医疗补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助缴费、其他社会保障缴费、住房公积金、医疗费、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其他工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资福利支出、离休费、退休费、退职（役） 费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、抚恤金、生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活补助、救济费、医疗费补助、助学金、奖励金、个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人农业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生产补贴、代缴社会保险费和其他对个人和家庭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的补助。</w:t>
      </w:r>
    </w:p>
    <w:p w14:paraId="4C30D158">
      <w:pPr>
        <w:spacing w:before="52" w:line="222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31F0329F">
      <w:pPr>
        <w:spacing w:before="254" w:line="367" w:lineRule="auto"/>
        <w:ind w:left="26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公用经费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90.81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，主要包括：办公费、印刷费、咨询费、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手续费、水费、电费、邮电费、取暖费、物业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管理费、差旅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费、因公出国（境）费、维修（护）费、租赁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费、</w:t>
      </w:r>
      <w:r>
        <w:rPr>
          <w:rFonts w:hint="default" w:ascii="Times New Roman" w:hAnsi="Times New Roman" w:eastAsia="仿宋_GB2312" w:cs="Times New Roman"/>
          <w:spacing w:val="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会议费、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培训费、公务接待费、专用材料费、被装购置费、专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用燃料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费、劳务费、委托业务费、工会经费、福利费、公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行维护费、其他交通费用、税金及附加费用、其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他商品和服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务支出、房屋建筑物购建、办公设备购置、专用设备购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置、</w:t>
      </w:r>
    </w:p>
    <w:p w14:paraId="392B119A">
      <w:pPr>
        <w:spacing w:line="367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0" w:type="default"/>
          <w:pgSz w:w="11907" w:h="16839"/>
          <w:pgMar w:top="1431" w:right="1699" w:bottom="1153" w:left="1785" w:header="0" w:footer="965" w:gutter="0"/>
          <w:cols w:space="720" w:num="1"/>
        </w:sectPr>
      </w:pPr>
    </w:p>
    <w:p w14:paraId="13575BAF">
      <w:pPr>
        <w:spacing w:before="158" w:line="356" w:lineRule="auto"/>
        <w:ind w:left="39" w:right="161" w:hanging="1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基础设施建设、大型修缮、信息网络及软件购置更新、其他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资本性支出</w:t>
      </w:r>
    </w:p>
    <w:p w14:paraId="5B94F5AB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B8C5070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07EFC623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D180E10">
      <w:pPr>
        <w:spacing w:before="101" w:line="224" w:lineRule="auto"/>
        <w:ind w:left="50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七、政府性基金预算财政拨款收入支出决算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情况说明</w:t>
      </w:r>
    </w:p>
    <w:p w14:paraId="7EA54E3F">
      <w:pPr>
        <w:spacing w:before="246" w:line="366" w:lineRule="auto"/>
        <w:ind w:left="38" w:firstLine="4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>2023 年度政府性基金预算财政拨款年初结转和结余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万元；本年收入 万元，比上年增加（减少）万元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，增长（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下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降） %，主要是</w:t>
      </w:r>
      <w:r>
        <w:rPr>
          <w:rFonts w:hint="default" w:ascii="Times New Roman" w:hAnsi="Times New Roman" w:eastAsia="仿宋_GB2312" w:cs="Times New Roman"/>
          <w:spacing w:val="-9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……；本年支出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万元，增长（</w:t>
      </w:r>
      <w:r>
        <w:rPr>
          <w:rFonts w:hint="default" w:ascii="Times New Roman" w:hAnsi="Times New Roman" w:eastAsia="仿宋_GB2312" w:cs="Times New Roman"/>
          <w:spacing w:val="-7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下降）</w:t>
      </w:r>
      <w:r>
        <w:rPr>
          <w:rFonts w:hint="default" w:ascii="Times New Roman" w:hAnsi="Times New Roman" w:eastAsia="仿宋_GB2312" w:cs="Times New Roman"/>
          <w:spacing w:val="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4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元。支出具体情况如下：</w:t>
      </w:r>
    </w:p>
    <w:p w14:paraId="52005B0F">
      <w:pPr>
        <w:spacing w:before="50" w:line="322" w:lineRule="auto"/>
        <w:ind w:left="34" w:right="158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1.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12D4F1E9">
      <w:pPr>
        <w:spacing w:before="250" w:line="322" w:lineRule="auto"/>
        <w:ind w:left="34" w:right="159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2.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7CE5C5F4">
      <w:pPr>
        <w:spacing w:before="250" w:line="322" w:lineRule="auto"/>
        <w:ind w:left="34" w:right="158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3.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  万元，主要用于……。完成年初预算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的  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大（小）于预算数的主要原因是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…。</w:t>
      </w:r>
    </w:p>
    <w:p w14:paraId="0F1B8D84">
      <w:pPr>
        <w:spacing w:before="304" w:line="185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4.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……</w:t>
      </w:r>
    </w:p>
    <w:p w14:paraId="1C87446A">
      <w:pPr>
        <w:spacing w:before="260" w:line="223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748C5DEA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1" w:type="default"/>
          <w:pgSz w:w="11907" w:h="16839"/>
          <w:pgMar w:top="1431" w:right="1641" w:bottom="1153" w:left="1785" w:header="0" w:footer="965" w:gutter="0"/>
          <w:cols w:space="720" w:num="1"/>
        </w:sectPr>
      </w:pPr>
    </w:p>
    <w:p w14:paraId="1BA4AE4F">
      <w:pPr>
        <w:spacing w:before="158" w:line="224" w:lineRule="auto"/>
        <w:ind w:left="74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八、国有资本经营预算财政拨款支出决算情况说明</w:t>
      </w:r>
    </w:p>
    <w:p w14:paraId="1548247E">
      <w:pPr>
        <w:spacing w:before="248" w:line="220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 年度国有资本经营预算年初结转和结余   万元；</w:t>
      </w:r>
    </w:p>
    <w:p w14:paraId="6713AF0F">
      <w:pPr>
        <w:spacing w:before="255" w:line="364" w:lineRule="auto"/>
        <w:ind w:left="23" w:firstLine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 xml:space="preserve">本年收入 万元，比上年增加（减少）万元，增长（下降）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主要是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；本年支出</w:t>
      </w:r>
      <w:r>
        <w:rPr>
          <w:rFonts w:hint="default" w:ascii="Times New Roman" w:hAnsi="Times New Roman" w:eastAsia="仿宋_GB2312" w:cs="Times New Roman"/>
          <w:spacing w:val="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比上年增加（减少）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增长（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下降）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……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；年末结转和结余</w:t>
      </w:r>
      <w:r>
        <w:rPr>
          <w:rFonts w:hint="default" w:ascii="Times New Roman" w:hAnsi="Times New Roman" w:eastAsia="仿宋_GB2312" w:cs="Times New Roman"/>
          <w:spacing w:val="4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出具体情况如下：</w:t>
      </w:r>
    </w:p>
    <w:p w14:paraId="57A3F825">
      <w:pPr>
        <w:spacing w:before="51" w:line="322" w:lineRule="auto"/>
        <w:ind w:left="33" w:right="84" w:firstLine="65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1.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0047E01E">
      <w:pPr>
        <w:spacing w:before="249" w:line="322" w:lineRule="auto"/>
        <w:ind w:left="33" w:right="84" w:firstLine="6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2.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6081B57B">
      <w:pPr>
        <w:spacing w:before="251" w:line="322" w:lineRule="auto"/>
        <w:ind w:left="33" w:right="84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3.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（类）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（款）</w:t>
      </w:r>
      <w:r>
        <w:rPr>
          <w:rFonts w:hint="default" w:ascii="Times New Roman" w:hAnsi="Times New Roman" w:eastAsia="仿宋_GB2312" w:cs="Times New Roman"/>
          <w:spacing w:val="-8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（项）。国有资本经营预算财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政拨款支出为  万元，主要用于……。完成年初预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  %,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决算数大（小）于预算数的主要原因是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4E524156">
      <w:pPr>
        <w:spacing w:before="303" w:line="185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4.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……</w:t>
      </w:r>
    </w:p>
    <w:p w14:paraId="28EB140D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19F8EAD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37ADCB81">
      <w:pPr>
        <w:spacing w:before="248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3685E036">
      <w:pPr>
        <w:spacing w:before="249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一）“三公”经费财政拨款支出决算总体情况说明</w:t>
      </w:r>
    </w:p>
    <w:p w14:paraId="46C86ABC">
      <w:pPr>
        <w:spacing w:before="249" w:line="223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年度“三公”经费财政拨款支出预算为  万元，支</w:t>
      </w:r>
    </w:p>
    <w:p w14:paraId="24FBB75B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2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3FAD1108">
      <w:pPr>
        <w:spacing w:before="156" w:line="362" w:lineRule="auto"/>
        <w:ind w:left="41" w:firstLine="26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出决算为  万元，完成预算的  %；较</w:t>
      </w:r>
      <w:r>
        <w:rPr>
          <w:rFonts w:hint="default" w:ascii="Times New Roman" w:hAnsi="Times New Roman" w:eastAsia="仿宋_GB2312" w:cs="Times New Roman"/>
          <w:spacing w:val="-2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万元，增长（下降） %，主要原因是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…。决算数大（小）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9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5D605321">
      <w:pPr>
        <w:spacing w:before="50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（二）“三公”经费财政拨款支出决算具体情况说明</w:t>
      </w:r>
    </w:p>
    <w:p w14:paraId="7C03B828">
      <w:pPr>
        <w:spacing w:before="248" w:line="366" w:lineRule="auto"/>
        <w:ind w:left="23" w:right="74" w:firstLine="66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1.因公出国（境）费预算为  万元,支出决算为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完成预算的   %；支出决算较</w:t>
      </w:r>
      <w:r>
        <w:rPr>
          <w:rFonts w:hint="default" w:ascii="Times New Roman" w:hAnsi="Times New Roman" w:eastAsia="仿宋_GB2312" w:cs="Times New Roman"/>
          <w:spacing w:val="-5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万元，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……。全年共有因公出国（境）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团组  个，</w:t>
      </w:r>
      <w:r>
        <w:rPr>
          <w:rFonts w:hint="default" w:ascii="Times New Roman" w:hAnsi="Times New Roman" w:eastAsia="仿宋_GB2312" w:cs="Times New Roman"/>
          <w:spacing w:val="-9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因公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出国（境）  人次。主要包括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…。</w:t>
      </w:r>
    </w:p>
    <w:p w14:paraId="78D9C6B0">
      <w:pPr>
        <w:spacing w:before="57" w:line="364" w:lineRule="auto"/>
        <w:ind w:left="23" w:right="15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2.公务用车购置及运行费预算为  万元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，支出决算为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万元，完成预算的   %；较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年度增加（减少）</w:t>
      </w:r>
      <w:r>
        <w:rPr>
          <w:rFonts w:hint="default" w:ascii="Times New Roman" w:hAnsi="Times New Roman" w:eastAsia="仿宋_GB2312" w:cs="Times New Roman"/>
          <w:spacing w:val="7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…。其中：</w:t>
      </w:r>
    </w:p>
    <w:p w14:paraId="41E1CCC2">
      <w:pPr>
        <w:spacing w:before="49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公务用车购置费支出   万元。主要是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…；截至 2023</w:t>
      </w:r>
    </w:p>
    <w:p w14:paraId="4F13BD0A">
      <w:pPr>
        <w:spacing w:before="253" w:line="221" w:lineRule="auto"/>
        <w:ind w:left="3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年 12 月 31 日，公务用车保有量为    辆,公务用车购置数</w:t>
      </w:r>
    </w:p>
    <w:p w14:paraId="2025E59C">
      <w:pPr>
        <w:spacing w:before="253" w:line="223" w:lineRule="auto"/>
        <w:ind w:left="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为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 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辆。</w:t>
      </w:r>
    </w:p>
    <w:p w14:paraId="0C7EF10C">
      <w:pPr>
        <w:spacing w:before="54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公务用车运行维护费支出   万元，主要是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…。</w:t>
      </w:r>
    </w:p>
    <w:p w14:paraId="6A52D2AE">
      <w:pPr>
        <w:spacing w:line="22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3" w:type="default"/>
          <w:pgSz w:w="11907" w:h="16839"/>
          <w:pgMar w:top="1431" w:right="1642" w:bottom="1153" w:left="1785" w:header="0" w:footer="965" w:gutter="0"/>
          <w:cols w:space="720" w:num="1"/>
        </w:sectPr>
      </w:pPr>
    </w:p>
    <w:p w14:paraId="3FD26591">
      <w:pPr>
        <w:spacing w:before="160" w:line="364" w:lineRule="auto"/>
        <w:ind w:left="21" w:right="3" w:firstLine="644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公务接待费预算为  万元，支出决算为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万元，完成预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算的   %；较</w:t>
      </w:r>
      <w:r>
        <w:rPr>
          <w:rFonts w:hint="default" w:ascii="Times New Roman" w:hAnsi="Times New Roman" w:eastAsia="仿宋_GB2312" w:cs="Times New Roman"/>
          <w:spacing w:val="-5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年度增加（减少）   万元，增长（下降）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主要原因是</w:t>
      </w:r>
      <w:r>
        <w:rPr>
          <w:rFonts w:hint="default" w:ascii="Times New Roman" w:hAnsi="Times New Roman" w:eastAsia="仿宋_GB2312" w:cs="Times New Roman"/>
          <w:spacing w:val="-6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7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…。决算数大（小）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是</w:t>
      </w:r>
      <w:r>
        <w:rPr>
          <w:rFonts w:hint="default" w:ascii="Times New Roman" w:hAnsi="Times New Roman" w:eastAsia="仿宋_GB2312" w:cs="Times New Roman"/>
          <w:spacing w:val="-9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…。其中：</w:t>
      </w:r>
    </w:p>
    <w:p w14:paraId="2F0BF4B3">
      <w:pPr>
        <w:spacing w:before="52" w:line="361" w:lineRule="auto"/>
        <w:ind w:left="33" w:firstLine="649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外事接待费支出  万元。主要用于……。全年共接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待外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事来访团组数  个、来访外宾   人次（不包括陪同人员）。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来访外宾主要包括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478018EB">
      <w:pPr>
        <w:spacing w:before="53" w:line="362" w:lineRule="auto"/>
        <w:ind w:left="26" w:right="90" w:firstLine="64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其他国内公务接待支出  万元。主要用于……。全年共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接待国内来访团组</w:t>
      </w: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个、来宾</w:t>
      </w:r>
      <w:r>
        <w:rPr>
          <w:rFonts w:hint="default" w:ascii="Times New Roman" w:hAnsi="Times New Roman" w:eastAsia="仿宋_GB2312" w:cs="Times New Roman"/>
          <w:spacing w:val="3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人次（不包括陪同人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员） 。</w:t>
      </w:r>
    </w:p>
    <w:p w14:paraId="76C572C8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27631EA0">
      <w:pPr>
        <w:spacing w:before="101" w:line="224" w:lineRule="auto"/>
        <w:ind w:left="750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十、关于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年度绩效评价情况说明</w:t>
      </w:r>
    </w:p>
    <w:p w14:paraId="4F86DFD3">
      <w:pPr>
        <w:spacing w:before="249" w:line="353" w:lineRule="auto"/>
        <w:ind w:left="23" w:right="3" w:firstLine="63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一）绩效评价工作开展情况。绩效评价工作开展情况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说明为：根据预算绩效管理要求，本部门组织对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一般公共预算项目支出全面开展绩效自评，其中，一级项目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个，二级项目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个，共涉及资金</w:t>
      </w:r>
      <w:r>
        <w:rPr>
          <w:rFonts w:hint="default" w:ascii="Times New Roman" w:hAnsi="Times New Roman" w:eastAsia="仿宋_GB2312" w:cs="Times New Roman"/>
          <w:spacing w:val="-2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占一般公共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预算项目支出总额的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%。组织对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4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个政府性基金预算项目开展绩效自评，共涉及资金</w:t>
      </w:r>
      <w:r>
        <w:rPr>
          <w:rFonts w:hint="default" w:ascii="Times New Roman" w:hAnsi="Times New Roman" w:eastAsia="仿宋_GB2312" w:cs="Times New Roman"/>
          <w:spacing w:val="-4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占政府性基金预算项目支出总额的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等</w:t>
      </w:r>
      <w:r>
        <w:rPr>
          <w:rFonts w:hint="default" w:ascii="Times New Roman" w:hAnsi="Times New Roman" w:eastAsia="仿宋_GB2312" w:cs="Times New Roman"/>
          <w:spacing w:val="-4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个国有资本经营预算项目开展绩效自评，共</w:t>
      </w:r>
    </w:p>
    <w:p w14:paraId="3E20A569">
      <w:pPr>
        <w:spacing w:line="35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4" w:type="default"/>
          <w:pgSz w:w="11907" w:h="16839"/>
          <w:pgMar w:top="1431" w:right="1710" w:bottom="1153" w:left="1785" w:header="0" w:footer="965" w:gutter="0"/>
          <w:cols w:space="720" w:num="1"/>
        </w:sectPr>
      </w:pPr>
    </w:p>
    <w:p w14:paraId="72A4D62F">
      <w:pPr>
        <w:spacing w:before="159" w:line="223" w:lineRule="auto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涉及资金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万元，占国有资本经营预算项目支出总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%。</w:t>
      </w:r>
    </w:p>
    <w:p w14:paraId="4AA7036F">
      <w:pPr>
        <w:spacing w:before="252" w:line="364" w:lineRule="auto"/>
        <w:ind w:left="23" w:right="102" w:firstLine="64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组织对“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>”“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”等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个项目开展了部门绩效评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价，涉及一般公共预算支出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万元，政府性基金预算支出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万元，国有资本经营预算支出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>万元。从评价情况来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看，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</w:t>
      </w:r>
    </w:p>
    <w:p w14:paraId="0BFC0DDB">
      <w:pPr>
        <w:spacing w:before="250" w:line="362" w:lineRule="auto"/>
        <w:ind w:left="33" w:right="106" w:firstLine="63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组织对本部门开展整体支出绩效评价，涉及一般公共预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算支出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万元，政府性基金预算支出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万元。从评价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来看，</w:t>
      </w:r>
      <w:r>
        <w:rPr>
          <w:rFonts w:hint="default" w:ascii="Times New Roman" w:hAnsi="Times New Roman" w:eastAsia="仿宋_GB2312" w:cs="Times New Roman"/>
          <w:spacing w:val="-8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</w:rPr>
        <w:t>…</w:t>
      </w:r>
    </w:p>
    <w:p w14:paraId="382B7990">
      <w:pPr>
        <w:spacing w:before="51" w:line="221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FF0000"/>
          <w:spacing w:val="8"/>
          <w:sz w:val="31"/>
          <w:szCs w:val="31"/>
        </w:rPr>
        <w:t>。</w:t>
      </w:r>
    </w:p>
    <w:p w14:paraId="43AED580">
      <w:pPr>
        <w:spacing w:before="253" w:line="356" w:lineRule="auto"/>
        <w:ind w:left="36" w:right="22" w:firstLine="62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项目绩效自评结果（如有）。除涉密敏感内容外，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省级部门原则上应予以公开。按照如下格式说明</w:t>
      </w:r>
      <w:r>
        <w:rPr>
          <w:rFonts w:hint="default" w:ascii="Times New Roman" w:hAnsi="Times New Roman" w:eastAsia="仿宋_GB2312" w:cs="Times New Roman"/>
          <w:spacing w:val="-8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:</w:t>
      </w:r>
    </w:p>
    <w:p w14:paraId="71A080FA">
      <w:pPr>
        <w:spacing w:before="49" w:line="366" w:lineRule="auto"/>
        <w:ind w:left="21" w:right="107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 xml:space="preserve"> 项目绩效自评情况：根据年初设定的绩效目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标，项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目绩效自评得分为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分。项目全年预算数为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万元，执行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数为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万元，完成预算的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%。项目绩效目标完成情况：一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是……；二是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2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。发现的主要问题及原因：一是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…；二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是……。下一步改进措施：一是……；二是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…。</w:t>
      </w:r>
    </w:p>
    <w:p w14:paraId="08EE0646">
      <w:pPr>
        <w:spacing w:before="49" w:line="224" w:lineRule="auto"/>
        <w:ind w:left="66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XXX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项目绩效自评情况：</w:t>
      </w:r>
      <w:r>
        <w:rPr>
          <w:rFonts w:hint="default" w:ascii="Times New Roman" w:hAnsi="Times New Roman" w:eastAsia="仿宋_GB2312" w:cs="Times New Roman"/>
          <w:spacing w:val="-7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1CBB39DD">
      <w:pPr>
        <w:spacing w:before="250" w:line="364" w:lineRule="auto"/>
        <w:ind w:left="34" w:firstLine="62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部门评价结果（如有）。除涉密敏感内容外，省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级部门原则上应将部门评价结果以报告的形式予以公开。报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告框架可参考《项目支出绩效评价管理办法》（吉财绩〔2022〕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711</w:t>
      </w:r>
      <w:r>
        <w:rPr>
          <w:rFonts w:hint="default" w:ascii="Times New Roman" w:hAnsi="Times New Roman" w:eastAsia="仿宋_GB2312" w:cs="Times New Roman"/>
          <w:spacing w:val="-3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号）中的《项目支出绩效评价报告（参考提纲）》。</w:t>
      </w:r>
    </w:p>
    <w:p w14:paraId="3CCA7DAA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5" w:type="default"/>
          <w:pgSz w:w="11907" w:h="16839"/>
          <w:pgMar w:top="1431" w:right="1694" w:bottom="1153" w:left="1785" w:header="0" w:footer="965" w:gutter="0"/>
          <w:cols w:space="720" w:num="1"/>
        </w:sectPr>
      </w:pPr>
    </w:p>
    <w:p w14:paraId="6B19D58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A740136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D6E42FE">
      <w:pPr>
        <w:spacing w:before="100" w:line="224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十一、其他重要事项情况说明</w:t>
      </w:r>
    </w:p>
    <w:p w14:paraId="1EEB9B54">
      <w:pPr>
        <w:spacing w:before="248" w:line="222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7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一）机关运行经费执行情况说明</w:t>
      </w:r>
    </w:p>
    <w:p w14:paraId="5430CBDE">
      <w:pPr>
        <w:spacing w:before="251" w:line="357" w:lineRule="auto"/>
        <w:ind w:left="19" w:right="170" w:firstLine="65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2023年度机关运行经费支出   万元，较2022年度增加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（减少）  万元，增长（降低）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%，主要是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</w:rPr>
        <w:t>…。</w:t>
      </w:r>
    </w:p>
    <w:p w14:paraId="45F619DC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（二）政府采购支出情况说明</w:t>
      </w:r>
    </w:p>
    <w:p w14:paraId="73D1EE52">
      <w:pPr>
        <w:spacing w:before="249" w:line="368" w:lineRule="auto"/>
        <w:ind w:left="29" w:right="24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2023 年度政府采购支出总额 万元，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其中：政府采购货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物支出  万元、政府采购工程支出</w:t>
      </w:r>
      <w:r>
        <w:rPr>
          <w:rFonts w:hint="default" w:ascii="Times New Roman" w:hAnsi="Times New Roman" w:eastAsia="仿宋_GB2312" w:cs="Times New Roman"/>
          <w:spacing w:val="2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万元、政府采购服务支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出  万元。授予中小企业合同金额</w:t>
      </w:r>
      <w:r>
        <w:rPr>
          <w:rFonts w:hint="default" w:ascii="Times New Roman" w:hAnsi="Times New Roman" w:eastAsia="仿宋_GB2312" w:cs="Times New Roman"/>
          <w:spacing w:val="27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占政府采购支出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总额的 %，其中：授予小微企业合同金额  万元，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占授予中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小企业合同金额的 %；货物采购授予中小企业合同金额占货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物支出金额的 %，工程采购授予中小企业合同金额占工程支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出金额的 %，服务采购授予中小企业合同金额占服务支出金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额的 %。</w:t>
      </w:r>
    </w:p>
    <w:p w14:paraId="6CF1D089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（三）国有资产占用情况说明</w:t>
      </w:r>
    </w:p>
    <w:p w14:paraId="118493A5">
      <w:pPr>
        <w:spacing w:before="286" w:line="340" w:lineRule="auto"/>
        <w:ind w:left="21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截至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 12 月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31 日，XXXX（部门标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准名称）共有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车辆  辆，其中，副部（省）级及以上领导用车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辆、主</w:t>
      </w:r>
      <w:r>
        <w:rPr>
          <w:rFonts w:hint="default" w:ascii="Times New Roman" w:hAnsi="Times New Roman" w:eastAsia="仿宋_GB2312" w:cs="Times New Roman"/>
          <w:spacing w:val="1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要负责人用车</w:t>
      </w:r>
      <w:r>
        <w:rPr>
          <w:rFonts w:hint="default" w:ascii="Times New Roman" w:hAnsi="Times New Roman" w:eastAsia="仿宋_GB2312" w:cs="Times New Roman"/>
          <w:spacing w:val="-5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辆、机要通信用车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辆、应急保障用车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XX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辆、执法执勤用车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辆、特种专业技术用车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</w:t>
      </w:r>
      <w:r>
        <w:rPr>
          <w:rFonts w:hint="default" w:ascii="Times New Roman" w:hAnsi="Times New Roman" w:eastAsia="仿宋_GB2312" w:cs="Times New Roman"/>
          <w:spacing w:val="11"/>
          <w:sz w:val="31"/>
          <w:szCs w:val="31"/>
        </w:rPr>
        <w:t>、离退休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干部用车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辆、其他用车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辆，其他用车主要是……；单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位价值</w:t>
      </w:r>
      <w:r>
        <w:rPr>
          <w:rFonts w:hint="default" w:ascii="Times New Roman" w:hAnsi="Times New Roman" w:eastAsia="仿宋_GB2312" w:cs="Times New Roman"/>
          <w:spacing w:val="-2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100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万元（含）以上设备（不含车辆）</w:t>
      </w:r>
      <w:r>
        <w:rPr>
          <w:rFonts w:hint="default" w:ascii="Times New Roman" w:hAnsi="Times New Roman" w:eastAsia="仿宋_GB2312" w:cs="Times New Roman"/>
          <w:sz w:val="31"/>
          <w:szCs w:val="31"/>
        </w:rPr>
        <w:t>XX</w:t>
      </w:r>
      <w:r>
        <w:rPr>
          <w:rFonts w:hint="default" w:ascii="Times New Roman" w:hAnsi="Times New Roman" w:eastAsia="仿宋_GB2312" w:cs="Times New Roman"/>
          <w:spacing w:val="-2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台（套）。</w:t>
      </w:r>
    </w:p>
    <w:p w14:paraId="458A3E16">
      <w:pPr>
        <w:spacing w:line="34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6" w:type="default"/>
          <w:pgSz w:w="11907" w:h="16839"/>
          <w:pgMar w:top="1431" w:right="1774" w:bottom="1153" w:left="1785" w:header="0" w:footer="965" w:gutter="0"/>
          <w:cols w:space="720" w:num="1"/>
        </w:sectPr>
      </w:pPr>
    </w:p>
    <w:p w14:paraId="571F6390">
      <w:pPr>
        <w:spacing w:before="225" w:line="443" w:lineRule="exact"/>
        <w:ind w:left="2186"/>
        <w:outlineLvl w:val="0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第四部分</w:t>
      </w:r>
      <w:r>
        <w:rPr>
          <w:rFonts w:hint="default" w:ascii="Times New Roman" w:hAnsi="Times New Roman" w:eastAsia="仿宋_GB2312" w:cs="Times New Roman"/>
          <w:spacing w:val="2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名词解释</w:t>
      </w:r>
    </w:p>
    <w:p w14:paraId="3497951C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7C307113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4578906A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548452E7">
      <w:pPr>
        <w:spacing w:before="100" w:line="297" w:lineRule="auto"/>
        <w:ind w:left="39" w:right="13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一、财政拨款收入：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指单位从同级财政部门取得的财政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预算资金。</w:t>
      </w:r>
    </w:p>
    <w:p w14:paraId="3E7ADED3">
      <w:pPr>
        <w:spacing w:before="250" w:line="297" w:lineRule="auto"/>
        <w:ind w:left="30" w:right="1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二、上级补助收入：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指从主管部门和上级单位取得的非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财政补助收入。</w:t>
      </w:r>
    </w:p>
    <w:p w14:paraId="28E60D2B">
      <w:pPr>
        <w:spacing w:before="249" w:line="298" w:lineRule="auto"/>
        <w:ind w:left="44" w:right="18" w:firstLine="649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三、事业收入：指事业单位开展专业业务活动及辅助活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1"/>
          <w:szCs w:val="31"/>
        </w:rPr>
        <w:t>动取得的收入。</w:t>
      </w:r>
    </w:p>
    <w:p w14:paraId="2126BB1C">
      <w:pPr>
        <w:spacing w:before="249" w:line="297" w:lineRule="auto"/>
        <w:ind w:left="44" w:right="16" w:firstLine="66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四、经营收入：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指事业单位在专业业务活动及其辅助活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动之外开展非独立核算经营活动取得的收入。</w:t>
      </w:r>
    </w:p>
    <w:p w14:paraId="13F3479F">
      <w:pPr>
        <w:spacing w:before="249" w:line="298" w:lineRule="auto"/>
        <w:ind w:left="28" w:right="1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五、附属单位上缴收入：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指事业单位附属独立核算单位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按照有关规定上缴的收入。</w:t>
      </w:r>
    </w:p>
    <w:p w14:paraId="430D1A9C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六、其他收入：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指除上述收入以外的各项收入。包括未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纳入财政预算或财政专户管理的投资收益、银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行存款利息收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入、租金收入、捐赠收入，现金盘盈收入、存货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盘盈收入、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收回已核销应收及预付款项、无法偿付的应付及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预收款项，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从省财政以外的同级单位取得的经费、从非省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财政取得的经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费，以及行政单位收到的财政专户管理资金等。</w:t>
      </w:r>
    </w:p>
    <w:p w14:paraId="2BA172AF">
      <w:pPr>
        <w:spacing w:before="252" w:line="322" w:lineRule="auto"/>
        <w:ind w:left="28" w:right="10" w:firstLine="6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31"/>
          <w:szCs w:val="31"/>
        </w:rPr>
        <w:t>七、使用非财政拨款结余（含专用结余</w:t>
      </w:r>
      <w:r>
        <w:rPr>
          <w:rFonts w:hint="default" w:ascii="Times New Roman" w:hAnsi="Times New Roman" w:eastAsia="仿宋_GB2312" w:cs="Times New Roman"/>
          <w:b/>
          <w:bCs/>
          <w:spacing w:val="16"/>
          <w:sz w:val="31"/>
          <w:szCs w:val="31"/>
        </w:rPr>
        <w:t>）：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指事业单位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按照预算管理要求使用非财政拨款结余弥补收支差额的金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额，以及使用专用结余安排支出的金额。</w:t>
      </w:r>
    </w:p>
    <w:p w14:paraId="08F2AE28">
      <w:pPr>
        <w:spacing w:before="249" w:line="220" w:lineRule="auto"/>
        <w:ind w:right="13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八、年初结转和结余：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指单位以前年度尚未完成、结转</w:t>
      </w:r>
    </w:p>
    <w:p w14:paraId="1DC61607">
      <w:pPr>
        <w:spacing w:line="22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00C15F4">
      <w:pPr>
        <w:spacing w:before="160" w:line="357" w:lineRule="auto"/>
        <w:ind w:left="46" w:right="189" w:hanging="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到本年按有关规定用途继续使用的资金，或项目已完成等产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生的结余资金。</w:t>
      </w:r>
    </w:p>
    <w:p w14:paraId="7F717CA1">
      <w:pPr>
        <w:spacing w:before="48" w:line="355" w:lineRule="auto"/>
        <w:ind w:left="32" w:right="155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九、结余分配：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指事业单位按照会计制度规定缴纳的所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得税、提取的专用结余以及转入非财政拨款结余的金额等。</w:t>
      </w:r>
    </w:p>
    <w:p w14:paraId="36078E5B">
      <w:pPr>
        <w:spacing w:before="54" w:line="364" w:lineRule="auto"/>
        <w:ind w:left="29" w:right="153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十、年末结转和结余：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指单位按有关规定结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转到下年或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以后年度继续使用的资金，或项目已完成等产生的结余资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金。</w:t>
      </w:r>
    </w:p>
    <w:p w14:paraId="3D41E0EC">
      <w:pPr>
        <w:spacing w:before="39" w:line="297" w:lineRule="auto"/>
        <w:ind w:left="30" w:right="15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十一、基本支出：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指为保障机构正常运转、完成日常工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作任务而发生的人员支出和公用支出。</w:t>
      </w:r>
    </w:p>
    <w:p w14:paraId="57A65D69">
      <w:pPr>
        <w:spacing w:before="250" w:line="298" w:lineRule="auto"/>
        <w:ind w:left="33" w:right="154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十二、项目支出：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指在基本支出之外为完成特定行政任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务或事业发展目标所发生的支出。</w:t>
      </w:r>
    </w:p>
    <w:p w14:paraId="6BAB99A2">
      <w:pPr>
        <w:spacing w:before="249" w:line="297" w:lineRule="auto"/>
        <w:ind w:left="44" w:right="155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十三、经营支出：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指事业单位在专业业务活动及其辅助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活动之外开展非独立核算经营活动发生的支出。</w:t>
      </w:r>
    </w:p>
    <w:p w14:paraId="719D3962">
      <w:pPr>
        <w:spacing w:before="249" w:line="297" w:lineRule="auto"/>
        <w:ind w:left="40" w:right="153" w:firstLine="64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十四、上缴上级支出：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指事业单位按照有关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规定上缴上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级单位的支出。</w:t>
      </w:r>
    </w:p>
    <w:p w14:paraId="6364353C">
      <w:pPr>
        <w:spacing w:before="251" w:line="297" w:lineRule="auto"/>
        <w:ind w:left="29" w:right="152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十五、对附属单位补助支出：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指事业单位用财政补助收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入之外的收入对附属单位补助发生的支出。</w:t>
      </w:r>
    </w:p>
    <w:p w14:paraId="34E86308">
      <w:pPr>
        <w:spacing w:before="252" w:line="342" w:lineRule="auto"/>
        <w:ind w:left="25" w:firstLine="65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十六、“三公”经费：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纳入省级财政预决算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管理的“三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公”经费，是指省级部门用财政拨款安排的因公出国（境）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费、公务用车购置及运行维护费和公务接待费。是党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政机关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维持运转或完成特定工作任务所开支的相关支出，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是政府行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政开支的一部分。其中，</w:t>
      </w:r>
      <w:r>
        <w:rPr>
          <w:rFonts w:hint="default" w:ascii="Times New Roman" w:hAnsi="Times New Roman" w:eastAsia="仿宋_GB2312" w:cs="Times New Roman"/>
          <w:spacing w:val="-4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因公出国（境）费反映公</w:t>
      </w:r>
      <w:r>
        <w:rPr>
          <w:rFonts w:hint="default" w:ascii="Times New Roman" w:hAnsi="Times New Roman" w:eastAsia="仿宋_GB2312" w:cs="Times New Roman"/>
          <w:spacing w:val="-13"/>
          <w:sz w:val="31"/>
          <w:szCs w:val="31"/>
        </w:rPr>
        <w:t>务出国（境）</w:t>
      </w:r>
    </w:p>
    <w:p w14:paraId="7E7E27BC">
      <w:pPr>
        <w:spacing w:line="342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8" w:type="default"/>
          <w:pgSz w:w="11907" w:h="16839"/>
          <w:pgMar w:top="1431" w:right="1646" w:bottom="1153" w:left="1785" w:header="0" w:footer="965" w:gutter="0"/>
          <w:cols w:space="720" w:num="1"/>
        </w:sectPr>
      </w:pPr>
    </w:p>
    <w:p w14:paraId="51C27131">
      <w:pPr>
        <w:spacing w:before="155" w:line="366" w:lineRule="auto"/>
        <w:ind w:left="25" w:firstLine="2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的国际旅费、国外城市间交通费、住宿费、伙食费、培训费、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公杂费等支出；公务用车购置及运行费反映单位公务用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车车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辆购置支出（含车辆购置税）及燃料费、维修费、过桥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过路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费、保险费、安全奖励费等支出；公务接待费反映单位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按规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定开支的各类公务接待（含外宾接待）支出。</w:t>
      </w:r>
    </w:p>
    <w:p w14:paraId="32985CEB">
      <w:pPr>
        <w:spacing w:before="48" w:line="347" w:lineRule="auto"/>
        <w:ind w:left="26" w:right="9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十七、机关运行经费：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指为保障行政单位（包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括参照公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务员法管理的事业单位）运行用于购买货物和服务的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各项资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金，包括办公费、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印刷费、邮电费、差旅费、会议费、福利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费、日常维修费、专用材料及一般设备购置费、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办公用房水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电费、办公用房取暖费、办公用房物业管理费、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公务用车运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行维护费以及其他费用。</w:t>
      </w:r>
    </w:p>
    <w:p w14:paraId="47600C46">
      <w:pPr>
        <w:spacing w:before="250" w:line="322" w:lineRule="auto"/>
        <w:ind w:left="43" w:right="93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十八、******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（对部门使用的所有“项”级政府收支分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类科目，参照《2023年政府收支分类科目》中的科目说明和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中央部门决算公开内容进行说明</w:t>
      </w:r>
      <w:r>
        <w:rPr>
          <w:rFonts w:hint="default" w:ascii="Times New Roman" w:hAnsi="Times New Roman" w:eastAsia="仿宋_GB2312" w:cs="Times New Roman"/>
          <w:spacing w:val="19"/>
          <w:sz w:val="31"/>
          <w:szCs w:val="31"/>
        </w:rPr>
        <w:t>）：</w:t>
      </w:r>
    </w:p>
    <w:p w14:paraId="652AF0EE">
      <w:pPr>
        <w:spacing w:before="250" w:line="224" w:lineRule="auto"/>
        <w:ind w:left="68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8"/>
          <w:sz w:val="31"/>
          <w:szCs w:val="31"/>
        </w:rPr>
        <w:t>十九、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…（同上）</w:t>
      </w:r>
    </w:p>
    <w:p w14:paraId="0549807A">
      <w:pPr>
        <w:spacing w:before="249" w:line="355" w:lineRule="auto"/>
        <w:ind w:left="26" w:right="98" w:firstLine="648"/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</w:pPr>
    </w:p>
    <w:sectPr>
      <w:footerReference r:id="rId19" w:type="default"/>
      <w:pgSz w:w="11907" w:h="16839"/>
      <w:pgMar w:top="1431" w:right="1705" w:bottom="1153" w:left="1785" w:header="0" w:footer="9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96E4B"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8B88A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22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5A468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23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D8113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DFA9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25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A2DAA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26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F4985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1B391">
    <w:pPr>
      <w:spacing w:line="177" w:lineRule="auto"/>
      <w:ind w:left="41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85AE7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0CCA9">
    <w:pPr>
      <w:spacing w:line="176" w:lineRule="auto"/>
      <w:ind w:left="412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A72E3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93F0B9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2E68B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26CF4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D945C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lhODY2NDQ5MThkODEzY2UwNDE0Mzk4YzBmMTk1NmMifQ=="/>
  </w:docVars>
  <w:rsids>
    <w:rsidRoot w:val="00000000"/>
    <w:rsid w:val="069F28F0"/>
    <w:rsid w:val="0C8F0920"/>
    <w:rsid w:val="138002DA"/>
    <w:rsid w:val="16E22E2F"/>
    <w:rsid w:val="1A4B52AF"/>
    <w:rsid w:val="21A40A9A"/>
    <w:rsid w:val="2324183F"/>
    <w:rsid w:val="27F15616"/>
    <w:rsid w:val="2D502B47"/>
    <w:rsid w:val="34D00132"/>
    <w:rsid w:val="42925A0F"/>
    <w:rsid w:val="595F72AE"/>
    <w:rsid w:val="637109B2"/>
    <w:rsid w:val="6DCD5D1E"/>
    <w:rsid w:val="732C4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20"/>
    <w:basedOn w:val="5"/>
    <w:qFormat/>
    <w:uiPriority w:val="0"/>
    <w:rPr>
      <w:rFonts w:hint="default" w:ascii="Times New Roman" w:eastAsia="楷体_GB2312" w:cs="楷体_GB231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hart" Target="charts/chart6.xml"/><Relationship Id="rId35" Type="http://schemas.openxmlformats.org/officeDocument/2006/relationships/chart" Target="charts/chart5.xml"/><Relationship Id="rId34" Type="http://schemas.openxmlformats.org/officeDocument/2006/relationships/chart" Target="charts/chart4.xml"/><Relationship Id="rId33" Type="http://schemas.openxmlformats.org/officeDocument/2006/relationships/chart" Target="charts/chart3.xml"/><Relationship Id="rId32" Type="http://schemas.openxmlformats.org/officeDocument/2006/relationships/chart" Target="charts/chart2.xml"/><Relationship Id="rId31" Type="http://schemas.openxmlformats.org/officeDocument/2006/relationships/chart" Target="charts/chart1.xml"/><Relationship Id="rId30" Type="http://schemas.openxmlformats.org/officeDocument/2006/relationships/image" Target="media/image10.jpeg"/><Relationship Id="rId3" Type="http://schemas.openxmlformats.org/officeDocument/2006/relationships/footnotes" Target="footnotes.xml"/><Relationship Id="rId29" Type="http://schemas.openxmlformats.org/officeDocument/2006/relationships/image" Target="media/image9.jpeg"/><Relationship Id="rId28" Type="http://schemas.openxmlformats.org/officeDocument/2006/relationships/image" Target="media/image8.jpeg"/><Relationship Id="rId27" Type="http://schemas.openxmlformats.org/officeDocument/2006/relationships/image" Target="media/image7.jpeg"/><Relationship Id="rId26" Type="http://schemas.openxmlformats.org/officeDocument/2006/relationships/image" Target="media/image6.jpeg"/><Relationship Id="rId25" Type="http://schemas.openxmlformats.org/officeDocument/2006/relationships/image" Target="media/image5.jpeg"/><Relationship Id="rId24" Type="http://schemas.openxmlformats.org/officeDocument/2006/relationships/image" Target="media/image4.jpeg"/><Relationship Id="rId23" Type="http://schemas.openxmlformats.org/officeDocument/2006/relationships/image" Target="media/image3.jpeg"/><Relationship Id="rId22" Type="http://schemas.openxmlformats.org/officeDocument/2006/relationships/image" Target="media/image2.jpeg"/><Relationship Id="rId21" Type="http://schemas.openxmlformats.org/officeDocument/2006/relationships/image" Target="media/image1.jpe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5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6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收入支出总体情况</a:t>
            </a:r>
          </a:p>
        </c:rich>
      </c:tx>
      <c:layout>
        <c:manualLayout>
          <c:xMode val="edge"/>
          <c:yMode val="edge"/>
          <c:x val="0.0192056441076561"/>
          <c:y val="0.030871003307607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00312532791253"/>
          <c:y val="0.180255753587582"/>
          <c:w val="0.873734694843312"/>
          <c:h val="0.686161352212451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Sheet1!$B$1</c:f>
              <c:strCache>
                <c:ptCount val="1"/>
                <c:pt idx="0">
                  <c:v>2023 年度收、支总计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#,##0.00</c:formatCode>
                <c:ptCount val="1"/>
                <c:pt idx="0">
                  <c:v>2030.71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2022年度收、支总计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General</c:formatCode>
                <c:ptCount val="1"/>
                <c:pt idx="0">
                  <c:v>2035.52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收、支总计各减少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4.81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763130274"/>
        <c:axId val="514909203"/>
      </c:barChart>
      <c:catAx>
        <c:axId val="76313027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14909203"/>
        <c:crosses val="autoZero"/>
        <c:auto val="1"/>
        <c:lblAlgn val="ctr"/>
        <c:lblOffset val="100"/>
        <c:noMultiLvlLbl val="0"/>
      </c:catAx>
      <c:valAx>
        <c:axId val="5149092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6313027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899d55ff-de00-42d5-bdfc-347b98e7620c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收入情况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dLbl>
              <c:idx val="2"/>
              <c:layout>
                <c:manualLayout>
                  <c:x val="-0.0604010630587098"/>
                  <c:y val="-0.014237144071398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28775066441169"/>
                  <c:y val="-0.08499787505312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本年收入合计</c:v>
                </c:pt>
                <c:pt idx="1">
                  <c:v>财政拨款收入</c:v>
                </c:pt>
                <c:pt idx="2">
                  <c:v> 比 上年减少</c:v>
                </c:pt>
                <c:pt idx="3">
                  <c:v>其他收入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2030.71</c:v>
                </c:pt>
                <c:pt idx="1">
                  <c:v>2029.77</c:v>
                </c:pt>
                <c:pt idx="2">
                  <c:v>4.81</c:v>
                </c:pt>
                <c:pt idx="3">
                  <c:v>0.16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f5722a8f-b38f-4768-9657-e543cf613830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支出情况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本年支出合计</c:v>
                </c:pt>
                <c:pt idx="1">
                  <c:v>2022基本支出</c:v>
                </c:pt>
                <c:pt idx="2">
                  <c:v>比上年 减少</c:v>
                </c:pt>
                <c:pt idx="3">
                  <c:v>2023基本支出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2030.71</c:v>
                </c:pt>
                <c:pt idx="1">
                  <c:v>2035.52</c:v>
                </c:pt>
                <c:pt idx="2">
                  <c:v>73.81</c:v>
                </c:pt>
                <c:pt idx="3">
                  <c:v>1961.68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0513e989-e9fa-451c-88aa-0e6f9fdd2c7a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财政拨款收入支出总体情况</a:t>
            </a:r>
          </a:p>
        </c:rich>
      </c:tx>
      <c:layout>
        <c:manualLayout>
          <c:xMode val="edge"/>
          <c:yMode val="edge"/>
          <c:x val="0.0192056441076561"/>
          <c:y val="0.0308710033076075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00312532791253"/>
          <c:y val="0.180255753587582"/>
          <c:w val="0.873734694843312"/>
          <c:h val="0.686161352212451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Sheet1!$B$1</c:f>
              <c:strCache>
                <c:ptCount val="1"/>
                <c:pt idx="0">
                  <c:v>2023 年度财政拨款收、支总计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General</c:formatCode>
                <c:ptCount val="1"/>
                <c:pt idx="0">
                  <c:v>2030.55</c:v>
                </c:pt>
              </c:numCache>
            </c:numRef>
          </c:val>
        </c:ser>
        <c:ser>
          <c:idx val="4"/>
          <c:order val="1"/>
          <c:tx>
            <c:strRef>
              <c:f>Sheet1!$C$1</c:f>
              <c:strCache>
                <c:ptCount val="1"/>
                <c:pt idx="0">
                  <c:v>2022年度财政拨款收、支总计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#,##0.00</c:formatCode>
                <c:ptCount val="1"/>
                <c:pt idx="0">
                  <c:v>2035.41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财政拨款收、支总计各减少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4.86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46"/>
        <c:overlap val="-28"/>
        <c:axId val="388732290"/>
        <c:axId val="165567901"/>
      </c:barChart>
      <c:catAx>
        <c:axId val="38873229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65567901"/>
        <c:crosses val="autoZero"/>
        <c:auto val="1"/>
        <c:lblAlgn val="ctr"/>
        <c:lblOffset val="100"/>
        <c:noMultiLvlLbl val="0"/>
      </c:catAx>
      <c:valAx>
        <c:axId val="16556790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02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8873229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0819038415076105"/>
          <c:y val="0.868226600985222"/>
          <c:w val="0.906015945880647"/>
          <c:h val="0.125615763546798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eca600b2-c631-49e2-8f45-65e5dfee8a11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1" i="0" u="none" strike="noStrike" kern="1200" spc="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一般公共预算财政拨款支出总体情况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81691834825609"/>
          <c:y val="0.268844781445138"/>
          <c:w val="0.847975410931445"/>
          <c:h val="0.6099241748438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2022 年度一般公共预算财政拨款支出</c:v>
                </c:pt>
              </c:strCache>
            </c:strRef>
          </c:tx>
          <c:spPr>
            <a:gradFill>
              <a:gsLst>
                <a:gs pos="0">
                  <a:srgbClr val="EE5596"/>
                </a:gs>
                <a:gs pos="100000">
                  <a:srgbClr val="F9B621"/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#,##0.00</c:formatCode>
                <c:ptCount val="1"/>
                <c:pt idx="0">
                  <c:v>2026.19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2023 年度一般公共预算财政拨款支出</c:v>
                </c:pt>
              </c:strCache>
            </c:strRef>
          </c:tx>
          <c:spPr>
            <a:gradFill>
              <a:gsLst>
                <a:gs pos="0">
                  <a:srgbClr val="6E6FFA"/>
                </a:gs>
                <a:gs pos="100000">
                  <a:srgbClr val="07E3EE"/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#,##0.00</c:formatCode>
                <c:ptCount val="1"/>
                <c:pt idx="0">
                  <c:v>2029.77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一般公共预算财政拨款支 出增加</c:v>
                </c:pt>
              </c:strCache>
            </c:strRef>
          </c:tx>
          <c:spPr>
            <a:gradFill>
              <a:gsLst>
                <a:gs pos="0">
                  <a:srgbClr val="8DDE03"/>
                </a:gs>
                <a:gs pos="100000">
                  <a:srgbClr val="DCDB06"/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3.58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57624853"/>
        <c:axId val="848765059"/>
      </c:barChart>
      <c:catAx>
        <c:axId val="65762485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</a:p>
        </c:txPr>
        <c:crossAx val="848765059"/>
        <c:crosses val="autoZero"/>
        <c:auto val="1"/>
        <c:lblAlgn val="ctr"/>
        <c:lblOffset val="100"/>
        <c:noMultiLvlLbl val="0"/>
      </c:catAx>
      <c:valAx>
        <c:axId val="848765059"/>
        <c:scaling>
          <c:orientation val="minMax"/>
        </c:scaling>
        <c:delete val="0"/>
        <c:axPos val="l"/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</a:p>
        </c:txPr>
        <c:crossAx val="657624853"/>
        <c:crosses val="autoZero"/>
        <c:crossBetween val="between"/>
      </c:valAx>
      <c:spPr>
        <a:noFill/>
        <a:ln>
          <a:solidFill>
            <a:schemeClr val="bg1">
              <a:lumMod val="85000"/>
            </a:schemeClr>
          </a:solidFill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tx1">
                  <a:lumMod val="75000"/>
                  <a:lumOff val="25000"/>
                </a:schemeClr>
              </a:solidFill>
              <a:latin typeface="微软雅黑" panose="020B0503020204020204" charset="-122"/>
              <a:ea typeface="微软雅黑" panose="020B0503020204020204" charset="-122"/>
              <a:cs typeface="微软雅黑" panose="020B0503020204020204" charset="-122"/>
              <a:sym typeface="微软雅黑" panose="020B0503020204020204" charset="-122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fbf4c46d-0995-47b1-8e58-8b903a1444e1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微软雅黑" panose="020B0503020204020204" charset="-122"/>
                <a:ea typeface="微软雅黑" panose="020B0503020204020204" charset="-122"/>
                <a:cs typeface="微软雅黑" panose="020B0503020204020204" charset="-122"/>
                <a:sym typeface="微软雅黑" panose="020B0503020204020204" charset="-122"/>
              </a:defRPr>
            </a:pPr>
            <a:r>
              <a:t>一般公共预算财政拨款支出结构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158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contourW="15875"/>
          </c:spPr>
          <c:explosion val="0"/>
          <c:dPt>
            <c:idx val="0"/>
            <c:bubble3D val="0"/>
            <c:spPr>
              <a:solidFill>
                <a:schemeClr val="accent1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1"/>
            <c:bubble3D val="0"/>
            <c:spPr>
              <a:solidFill>
                <a:schemeClr val="accent2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2"/>
            <c:bubble3D val="0"/>
            <c:spPr>
              <a:solidFill>
                <a:schemeClr val="accent3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Pt>
            <c:idx val="3"/>
            <c:bubble3D val="0"/>
            <c:spPr>
              <a:solidFill>
                <a:schemeClr val="accent4">
                  <a:shade val="76667"/>
                </a:schemeClr>
              </a:solidFill>
              <a:ln w="15875">
                <a:solidFill>
                  <a:schemeClr val="bg1"/>
                </a:solidFill>
              </a:ln>
              <a:effectLst/>
              <a:scene3d>
                <a:camera prst="orthographicFront"/>
                <a:lightRig rig="threePt" dir="t"/>
              </a:scene3d>
              <a:sp3d contourW="15875"/>
            </c:spPr>
          </c:dPt>
          <c:dLbls>
            <c:numFmt formatCode="General" sourceLinked="1"/>
            <c:spPr>
              <a:noFill/>
              <a:ln w="6350"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 forceAA="0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微软雅黑" panose="020B0503020204020204" charset="-122"/>
                    <a:ea typeface="微软雅黑" panose="020B0503020204020204" charset="-122"/>
                    <a:cs typeface="微软雅黑" panose="020B0503020204020204" charset="-122"/>
                    <a:sym typeface="微软雅黑" panose="020B0503020204020204" charset="-122"/>
                  </a:defRPr>
                </a:pPr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教育支出</c:v>
                </c:pt>
                <c:pt idx="1">
                  <c:v>社会保障和就业支出</c:v>
                </c:pt>
                <c:pt idx="2">
                  <c:v>卫生健康支出</c:v>
                </c:pt>
                <c:pt idx="3">
                  <c:v>住房保障支出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1569.59</c:v>
                </c:pt>
                <c:pt idx="1">
                  <c:v>250.02</c:v>
                </c:pt>
                <c:pt idx="2">
                  <c:v>89.03</c:v>
                </c:pt>
                <c:pt idx="3">
                  <c:v>121.13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c014d37f-fda1-4bcd-add5-4d6a873e8772}"/>
      </c:ext>
    </c:extLst>
  </c:chart>
  <c:spPr>
    <a:solidFill>
      <a:schemeClr val="bg1"/>
    </a:solidFill>
    <a:ln w="6350" cap="flat" cmpd="sng" algn="ctr">
      <a:solidFill>
        <a:schemeClr val="tx1">
          <a:lumMod val="50000"/>
          <a:lumOff val="50000"/>
          <a:alpha val="25000"/>
        </a:schemeClr>
      </a:solidFill>
      <a:prstDash val="solid"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chemeClr val="tx1">
              <a:lumMod val="75000"/>
              <a:lumOff val="25000"/>
            </a:schemeClr>
          </a:solidFill>
          <a:latin typeface="微软雅黑" panose="020B0503020204020204" charset="-122"/>
          <a:ea typeface="微软雅黑" panose="020B0503020204020204" charset="-122"/>
          <a:cs typeface="微软雅黑" panose="020B0503020204020204" charset="-122"/>
          <a:sym typeface="微软雅黑" panose="020B0503020204020204" charset="-122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0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>
        <a:noFill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5769</Words>
  <Characters>6221</Characters>
  <TotalTime>42</TotalTime>
  <ScaleCrop>false</ScaleCrop>
  <LinksUpToDate>false</LinksUpToDate>
  <CharactersWithSpaces>6763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握不住的沙</cp:lastModifiedBy>
  <cp:lastPrinted>2024-10-29T04:12:13Z</cp:lastPrinted>
  <dcterms:modified xsi:type="dcterms:W3CDTF">2024-10-29T04:52:28Z</dcterms:modified>
  <dc:title>2015年度部门决算公开模板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2024-08-26T15:58:15Z</vt:filetime>
  </property>
  <property fmtid="{D5CDD505-2E9C-101B-9397-08002B2CF9AE}" pid="4" name="KSOProductBuildVer">
    <vt:lpwstr>2052-12.1.0.18608</vt:lpwstr>
  </property>
  <property fmtid="{D5CDD505-2E9C-101B-9397-08002B2CF9AE}" pid="5" name="ICV">
    <vt:lpwstr>9DAAF2DAF2FB43128BF965824E1E3C6C_13</vt:lpwstr>
  </property>
</Properties>
</file>