
<file path=[Content_Types].xml><?xml version="1.0" encoding="utf-8"?>
<Types xmlns="http://schemas.openxmlformats.org/package/2006/content-types">
  <Default Extension="xlsx" ContentType="application/vnd.openxmlformats-officedocument.spreadsheetml.sheet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olors1.xml" ContentType="application/vnd.ms-office.chartcolorstyle+xml"/>
  <Override PartName="/word/charts/colors2.xml" ContentType="application/vnd.ms-office.chartcolorstyle+xml"/>
  <Override PartName="/word/charts/colors3.xml" ContentType="application/vnd.ms-office.chartcolorstyle+xml"/>
  <Override PartName="/word/charts/style1.xml" ContentType="application/vnd.ms-office.chartstyle+xml"/>
  <Override PartName="/word/charts/style2.xml" ContentType="application/vnd.ms-office.chartstyle+xml"/>
  <Override PartName="/word/charts/style3.xml" ContentType="application/vnd.ms-office.chartstyle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5605B8">
      <w:pPr>
        <w:widowControl w:val="0"/>
        <w:kinsoku/>
        <w:autoSpaceDE/>
        <w:autoSpaceDN/>
        <w:adjustRightInd/>
        <w:snapToGrid/>
        <w:spacing w:line="240" w:lineRule="auto"/>
        <w:jc w:val="both"/>
        <w:textAlignment w:val="auto"/>
        <w:rPr>
          <w:rFonts w:hint="eastAsia" w:ascii="仿宋" w:hAnsi="仿宋" w:eastAsia="仿宋" w:cs="Times New Roman"/>
          <w:snapToGrid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Times New Roman"/>
          <w:snapToGrid/>
          <w:kern w:val="2"/>
          <w:sz w:val="28"/>
          <w:szCs w:val="28"/>
          <w:lang w:eastAsia="zh-CN"/>
        </w:rPr>
        <w:t xml:space="preserve">附件 </w:t>
      </w:r>
      <w:r>
        <w:rPr>
          <w:rFonts w:hint="default" w:ascii="Times New Roman" w:hAnsi="Times New Roman" w:eastAsia="仿宋" w:cs="Times New Roman"/>
          <w:snapToGrid/>
          <w:kern w:val="2"/>
          <w:sz w:val="28"/>
          <w:szCs w:val="28"/>
          <w:lang w:eastAsia="zh-CN"/>
        </w:rPr>
        <w:t>1</w:t>
      </w:r>
      <w:r>
        <w:rPr>
          <w:rFonts w:hint="eastAsia" w:ascii="仿宋" w:hAnsi="仿宋" w:eastAsia="仿宋" w:cs="Times New Roman"/>
          <w:snapToGrid/>
          <w:kern w:val="2"/>
          <w:sz w:val="28"/>
          <w:szCs w:val="28"/>
          <w:lang w:eastAsia="zh-CN"/>
        </w:rPr>
        <w:t>：</w:t>
      </w:r>
    </w:p>
    <w:p w14:paraId="5194875A">
      <w:pPr>
        <w:pStyle w:val="2"/>
        <w:spacing w:line="251" w:lineRule="auto"/>
      </w:pPr>
    </w:p>
    <w:p w14:paraId="15A7E154">
      <w:pPr>
        <w:pStyle w:val="2"/>
        <w:spacing w:line="251" w:lineRule="auto"/>
      </w:pPr>
    </w:p>
    <w:p w14:paraId="10B84B7C">
      <w:pPr>
        <w:pStyle w:val="2"/>
        <w:spacing w:line="252" w:lineRule="auto"/>
      </w:pPr>
    </w:p>
    <w:p w14:paraId="751C39D1">
      <w:pPr>
        <w:pStyle w:val="2"/>
        <w:spacing w:line="252" w:lineRule="auto"/>
      </w:pPr>
    </w:p>
    <w:p w14:paraId="0561FA4A">
      <w:pPr>
        <w:pStyle w:val="2"/>
        <w:spacing w:line="252" w:lineRule="auto"/>
      </w:pPr>
    </w:p>
    <w:p w14:paraId="5B1007C2">
      <w:pPr>
        <w:pStyle w:val="2"/>
        <w:spacing w:line="252" w:lineRule="auto"/>
      </w:pPr>
    </w:p>
    <w:p w14:paraId="5CF92D06">
      <w:pPr>
        <w:pStyle w:val="2"/>
        <w:spacing w:line="252" w:lineRule="auto"/>
      </w:pPr>
    </w:p>
    <w:p w14:paraId="54126FE2">
      <w:pPr>
        <w:pStyle w:val="2"/>
        <w:spacing w:line="252" w:lineRule="auto"/>
      </w:pPr>
    </w:p>
    <w:p w14:paraId="1019F954">
      <w:pPr>
        <w:pStyle w:val="2"/>
        <w:spacing w:line="252" w:lineRule="auto"/>
      </w:pPr>
    </w:p>
    <w:p w14:paraId="3A71A31C">
      <w:pPr>
        <w:pStyle w:val="2"/>
        <w:spacing w:line="252" w:lineRule="auto"/>
      </w:pPr>
    </w:p>
    <w:p w14:paraId="115B7AA1">
      <w:pPr>
        <w:pStyle w:val="2"/>
        <w:spacing w:line="252" w:lineRule="auto"/>
      </w:pPr>
    </w:p>
    <w:p w14:paraId="5245FB85">
      <w:pPr>
        <w:pStyle w:val="2"/>
        <w:spacing w:line="252" w:lineRule="auto"/>
      </w:pPr>
    </w:p>
    <w:p w14:paraId="4CAA1137">
      <w:pPr>
        <w:pStyle w:val="2"/>
        <w:spacing w:line="252" w:lineRule="auto"/>
      </w:pPr>
    </w:p>
    <w:p w14:paraId="492350EB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黑体" w:cs="Times New Roman"/>
          <w:snapToGrid/>
          <w:kern w:val="2"/>
          <w:sz w:val="44"/>
          <w:szCs w:val="44"/>
          <w:lang w:eastAsia="zh-CN"/>
        </w:rPr>
      </w:pPr>
      <w:r>
        <w:rPr>
          <w:rFonts w:hint="default" w:ascii="Times New Roman" w:hAnsi="Times New Roman" w:eastAsia="黑体" w:cs="Times New Roman"/>
          <w:snapToGrid/>
          <w:kern w:val="2"/>
          <w:sz w:val="44"/>
          <w:szCs w:val="44"/>
          <w:lang w:eastAsia="zh-CN"/>
        </w:rPr>
        <w:t>2023 年度</w:t>
      </w:r>
    </w:p>
    <w:p w14:paraId="337A094F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黑体" w:cs="Times New Roman"/>
          <w:snapToGrid/>
          <w:kern w:val="2"/>
          <w:sz w:val="44"/>
          <w:szCs w:val="44"/>
          <w:lang w:eastAsia="zh-CN"/>
        </w:rPr>
      </w:pPr>
    </w:p>
    <w:p w14:paraId="2018B6C0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ascii="仿宋" w:hAnsi="仿宋" w:eastAsia="仿宋" w:cs="Arial"/>
          <w:snapToGrid/>
          <w:kern w:val="2"/>
          <w:sz w:val="44"/>
          <w:szCs w:val="44"/>
          <w:lang w:eastAsia="zh-CN"/>
        </w:rPr>
      </w:pPr>
      <w:r>
        <w:rPr>
          <w:rFonts w:hint="default" w:ascii="Times New Roman" w:hAnsi="Times New Roman" w:eastAsia="黑体" w:cs="Times New Roman"/>
          <w:snapToGrid/>
          <w:kern w:val="2"/>
          <w:sz w:val="44"/>
          <w:szCs w:val="44"/>
          <w:lang w:eastAsia="zh-CN"/>
        </w:rPr>
        <w:t>榆树市</w:t>
      </w:r>
      <w:r>
        <w:rPr>
          <w:rFonts w:hint="eastAsia" w:ascii="Times New Roman" w:hAnsi="Times New Roman" w:eastAsia="黑体" w:cs="Times New Roman"/>
          <w:snapToGrid/>
          <w:kern w:val="2"/>
          <w:sz w:val="44"/>
          <w:szCs w:val="44"/>
          <w:lang w:val="en-US" w:eastAsia="zh-CN"/>
        </w:rPr>
        <w:t>恩育乡</w:t>
      </w:r>
      <w:r>
        <w:rPr>
          <w:rFonts w:hint="default" w:ascii="Times New Roman" w:hAnsi="Times New Roman" w:eastAsia="黑体" w:cs="Times New Roman"/>
          <w:snapToGrid/>
          <w:kern w:val="2"/>
          <w:sz w:val="44"/>
          <w:szCs w:val="44"/>
          <w:lang w:eastAsia="zh-CN"/>
        </w:rPr>
        <w:t>中</w:t>
      </w:r>
      <w:r>
        <w:rPr>
          <w:rFonts w:hint="eastAsia" w:ascii="Times New Roman" w:hAnsi="Times New Roman" w:eastAsia="黑体" w:cs="Times New Roman"/>
          <w:snapToGrid/>
          <w:kern w:val="2"/>
          <w:sz w:val="44"/>
          <w:szCs w:val="44"/>
          <w:lang w:val="en-US" w:eastAsia="zh-CN"/>
        </w:rPr>
        <w:t>心小</w:t>
      </w:r>
      <w:r>
        <w:rPr>
          <w:rFonts w:hint="default" w:ascii="Times New Roman" w:hAnsi="Times New Roman" w:eastAsia="黑体" w:cs="Times New Roman"/>
          <w:snapToGrid/>
          <w:kern w:val="2"/>
          <w:sz w:val="44"/>
          <w:szCs w:val="44"/>
          <w:lang w:eastAsia="zh-CN"/>
        </w:rPr>
        <w:t>学部门决算</w:t>
      </w:r>
    </w:p>
    <w:p w14:paraId="011F7500">
      <w:pPr>
        <w:pStyle w:val="2"/>
        <w:spacing w:line="242" w:lineRule="auto"/>
      </w:pPr>
    </w:p>
    <w:p w14:paraId="688A0D8F">
      <w:pPr>
        <w:pStyle w:val="2"/>
        <w:spacing w:line="242" w:lineRule="auto"/>
      </w:pPr>
    </w:p>
    <w:p w14:paraId="4B97BCBB">
      <w:pPr>
        <w:pStyle w:val="2"/>
        <w:spacing w:line="242" w:lineRule="auto"/>
      </w:pPr>
    </w:p>
    <w:p w14:paraId="602D776A">
      <w:pPr>
        <w:pStyle w:val="2"/>
        <w:spacing w:line="242" w:lineRule="auto"/>
      </w:pPr>
    </w:p>
    <w:p w14:paraId="4E83DC17">
      <w:pPr>
        <w:pStyle w:val="2"/>
        <w:spacing w:line="242" w:lineRule="auto"/>
      </w:pPr>
    </w:p>
    <w:p w14:paraId="1620C15D">
      <w:pPr>
        <w:pStyle w:val="2"/>
        <w:spacing w:line="242" w:lineRule="auto"/>
      </w:pPr>
    </w:p>
    <w:p w14:paraId="22060816">
      <w:pPr>
        <w:pStyle w:val="2"/>
        <w:spacing w:line="242" w:lineRule="auto"/>
      </w:pPr>
    </w:p>
    <w:p w14:paraId="3169FF9E">
      <w:pPr>
        <w:pStyle w:val="2"/>
        <w:spacing w:line="242" w:lineRule="auto"/>
      </w:pPr>
    </w:p>
    <w:p w14:paraId="5DB4A9D3">
      <w:pPr>
        <w:pStyle w:val="2"/>
        <w:spacing w:line="242" w:lineRule="auto"/>
      </w:pPr>
    </w:p>
    <w:p w14:paraId="6188A247">
      <w:pPr>
        <w:pStyle w:val="2"/>
        <w:spacing w:line="242" w:lineRule="auto"/>
      </w:pPr>
    </w:p>
    <w:p w14:paraId="1FD5DBB4">
      <w:pPr>
        <w:pStyle w:val="2"/>
        <w:spacing w:line="242" w:lineRule="auto"/>
      </w:pPr>
    </w:p>
    <w:p w14:paraId="7123FAD4">
      <w:pPr>
        <w:pStyle w:val="2"/>
        <w:spacing w:line="243" w:lineRule="auto"/>
      </w:pPr>
    </w:p>
    <w:p w14:paraId="21CC0D71">
      <w:pPr>
        <w:pStyle w:val="2"/>
        <w:spacing w:line="243" w:lineRule="auto"/>
      </w:pPr>
    </w:p>
    <w:p w14:paraId="3D1B397E">
      <w:pPr>
        <w:pStyle w:val="2"/>
        <w:spacing w:line="243" w:lineRule="auto"/>
      </w:pPr>
    </w:p>
    <w:p w14:paraId="5D492978">
      <w:pPr>
        <w:pStyle w:val="2"/>
        <w:spacing w:line="243" w:lineRule="auto"/>
      </w:pPr>
    </w:p>
    <w:p w14:paraId="5A77C529">
      <w:pPr>
        <w:pStyle w:val="2"/>
        <w:spacing w:line="243" w:lineRule="auto"/>
      </w:pPr>
    </w:p>
    <w:p w14:paraId="1C0BF8D0">
      <w:pPr>
        <w:pStyle w:val="2"/>
        <w:spacing w:line="243" w:lineRule="auto"/>
      </w:pPr>
    </w:p>
    <w:p w14:paraId="1D37A28E">
      <w:pPr>
        <w:pStyle w:val="2"/>
        <w:spacing w:line="243" w:lineRule="auto"/>
      </w:pPr>
    </w:p>
    <w:p w14:paraId="26278C3F">
      <w:pPr>
        <w:pStyle w:val="2"/>
        <w:spacing w:line="243" w:lineRule="auto"/>
      </w:pPr>
    </w:p>
    <w:p w14:paraId="0C8C7B8D">
      <w:pPr>
        <w:pStyle w:val="2"/>
        <w:spacing w:line="243" w:lineRule="auto"/>
      </w:pPr>
    </w:p>
    <w:p w14:paraId="5B7C3357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bookmarkStart w:id="0" w:name="_GoBack"/>
      <w:bookmarkEnd w:id="0"/>
    </w:p>
    <w:p w14:paraId="743C31FA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</w:p>
    <w:p w14:paraId="0246EDA9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</w:p>
    <w:p w14:paraId="1ED6914E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default" w:ascii="仿宋" w:hAnsi="仿宋" w:eastAsia="仿宋" w:cs="Arial"/>
          <w:snapToGrid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 xml:space="preserve">2024 </w:t>
      </w:r>
      <w:r>
        <w:rPr>
          <w:rFonts w:hint="default" w:ascii="仿宋" w:hAnsi="仿宋" w:eastAsia="仿宋" w:cs="Arial"/>
          <w:snapToGrid/>
          <w:kern w:val="2"/>
          <w:sz w:val="32"/>
          <w:szCs w:val="32"/>
          <w:lang w:eastAsia="zh-CN"/>
        </w:rPr>
        <w:t xml:space="preserve">年 </w:t>
      </w:r>
      <w:r>
        <w:rPr>
          <w:rFonts w:hint="eastAsia" w:ascii="仿宋" w:hAnsi="仿宋" w:eastAsia="仿宋" w:cs="Arial"/>
          <w:snapToGrid/>
          <w:kern w:val="2"/>
          <w:sz w:val="32"/>
          <w:szCs w:val="32"/>
          <w:lang w:val="en-US" w:eastAsia="zh-CN"/>
        </w:rPr>
        <w:t>10</w:t>
      </w:r>
      <w:r>
        <w:rPr>
          <w:rFonts w:hint="default" w:ascii="仿宋" w:hAnsi="仿宋" w:eastAsia="仿宋" w:cs="Arial"/>
          <w:snapToGrid/>
          <w:kern w:val="2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Arial"/>
          <w:snapToGrid/>
          <w:kern w:val="2"/>
          <w:sz w:val="32"/>
          <w:szCs w:val="32"/>
          <w:lang w:val="en-US" w:eastAsia="zh-CN"/>
        </w:rPr>
        <w:t>23</w:t>
      </w:r>
      <w:r>
        <w:rPr>
          <w:rFonts w:hint="default" w:ascii="仿宋" w:hAnsi="仿宋" w:eastAsia="仿宋" w:cs="Arial"/>
          <w:snapToGrid/>
          <w:kern w:val="2"/>
          <w:sz w:val="32"/>
          <w:szCs w:val="32"/>
          <w:lang w:eastAsia="zh-CN"/>
        </w:rPr>
        <w:t xml:space="preserve"> 日</w:t>
      </w:r>
    </w:p>
    <w:p w14:paraId="6358623E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ascii="仿宋" w:hAnsi="仿宋" w:eastAsia="仿宋" w:cs="Arial"/>
          <w:snapToGrid/>
          <w:kern w:val="2"/>
          <w:sz w:val="44"/>
          <w:szCs w:val="44"/>
          <w:lang w:eastAsia="zh-CN"/>
        </w:rPr>
        <w:sectPr>
          <w:footerReference r:id="rId5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58DC17AE">
      <w:pPr>
        <w:pStyle w:val="2"/>
        <w:spacing w:line="289" w:lineRule="auto"/>
      </w:pPr>
    </w:p>
    <w:p w14:paraId="66B1449F">
      <w:pPr>
        <w:pStyle w:val="2"/>
        <w:spacing w:line="290" w:lineRule="auto"/>
      </w:pPr>
    </w:p>
    <w:p w14:paraId="3635358B">
      <w:pPr>
        <w:spacing w:before="140" w:line="223" w:lineRule="auto"/>
        <w:ind w:left="3502"/>
        <w:outlineLvl w:val="0"/>
        <w:rPr>
          <w:rFonts w:ascii="仿宋" w:hAnsi="仿宋" w:eastAsia="仿宋" w:cs="仿宋"/>
          <w:sz w:val="43"/>
          <w:szCs w:val="43"/>
        </w:rPr>
      </w:pPr>
      <w:r>
        <w:rPr>
          <w:rFonts w:hint="eastAsia" w:ascii="仿宋" w:hAnsi="仿宋" w:eastAsia="仿宋" w:cs="Times New Roman"/>
          <w:snapToGrid/>
          <w:kern w:val="2"/>
          <w:sz w:val="44"/>
          <w:szCs w:val="22"/>
          <w:lang w:eastAsia="zh-CN"/>
        </w:rPr>
        <w:t>目   录</w:t>
      </w:r>
    </w:p>
    <w:p w14:paraId="27B55C5A">
      <w:pPr>
        <w:pStyle w:val="2"/>
        <w:spacing w:line="341" w:lineRule="auto"/>
      </w:pPr>
    </w:p>
    <w:p w14:paraId="183EC639">
      <w:pPr>
        <w:pStyle w:val="2"/>
        <w:spacing w:line="342" w:lineRule="auto"/>
      </w:pPr>
    </w:p>
    <w:p w14:paraId="22238942">
      <w:pPr>
        <w:spacing w:before="101" w:line="223" w:lineRule="auto"/>
        <w:ind w:left="4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z w:val="31"/>
          <w:szCs w:val="31"/>
        </w:rPr>
        <w:t>第一部分</w:t>
      </w:r>
      <w:r>
        <w:rPr>
          <w:rFonts w:hint="default" w:ascii="Times New Roman" w:hAnsi="Times New Roman" w:eastAsia="仿宋_GB2312" w:cs="Times New Roman"/>
          <w:spacing w:val="18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b/>
          <w:bCs/>
          <w:sz w:val="31"/>
          <w:szCs w:val="31"/>
        </w:rPr>
        <w:t>部门概况</w:t>
      </w:r>
    </w:p>
    <w:p w14:paraId="7D1E52FC">
      <w:pPr>
        <w:spacing w:before="249" w:line="223" w:lineRule="auto"/>
        <w:ind w:left="4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z w:val="31"/>
          <w:szCs w:val="31"/>
        </w:rPr>
        <w:t>一、部门职责</w:t>
      </w:r>
    </w:p>
    <w:p w14:paraId="5DB6AED2">
      <w:pPr>
        <w:spacing w:before="250" w:line="222" w:lineRule="auto"/>
        <w:ind w:left="45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二、机构设置及部门决算单位构成</w:t>
      </w:r>
    </w:p>
    <w:p w14:paraId="548DECEB">
      <w:pPr>
        <w:spacing w:before="250" w:line="223" w:lineRule="auto"/>
        <w:ind w:left="49"/>
        <w:outlineLvl w:val="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2"/>
          <w:sz w:val="31"/>
          <w:szCs w:val="31"/>
        </w:rPr>
        <w:t>第二部分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2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-3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2"/>
          <w:sz w:val="31"/>
          <w:szCs w:val="31"/>
        </w:rPr>
        <w:t>年度部门决算表</w:t>
      </w:r>
    </w:p>
    <w:p w14:paraId="15F2EAC2">
      <w:pPr>
        <w:spacing w:before="250" w:line="223" w:lineRule="auto"/>
        <w:ind w:left="4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一、收入支出决算总表</w:t>
      </w:r>
    </w:p>
    <w:p w14:paraId="3E6888F3">
      <w:pPr>
        <w:spacing w:before="250" w:line="223" w:lineRule="auto"/>
        <w:ind w:left="45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二、收入决算表</w:t>
      </w:r>
    </w:p>
    <w:p w14:paraId="58649D7E">
      <w:pPr>
        <w:spacing w:before="249" w:line="223" w:lineRule="auto"/>
        <w:ind w:left="4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三、支出决算表</w:t>
      </w:r>
    </w:p>
    <w:p w14:paraId="6E5537FC">
      <w:pPr>
        <w:spacing w:before="250" w:line="223" w:lineRule="auto"/>
        <w:ind w:left="7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四、财政拨款收入支出决算总表</w:t>
      </w:r>
    </w:p>
    <w:p w14:paraId="45D4FDAA">
      <w:pPr>
        <w:spacing w:before="249" w:line="223" w:lineRule="auto"/>
        <w:ind w:left="4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五、一般公共预算财政拨款支出决算表</w:t>
      </w:r>
    </w:p>
    <w:p w14:paraId="12554B9C">
      <w:pPr>
        <w:spacing w:before="250" w:line="223" w:lineRule="auto"/>
        <w:ind w:left="38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六、一般公共预算财政拨款基本支出决算明细表</w:t>
      </w:r>
    </w:p>
    <w:p w14:paraId="07F5335F">
      <w:pPr>
        <w:spacing w:before="251" w:line="221" w:lineRule="auto"/>
        <w:ind w:left="4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七、政府性基金预算财政拨款收入支出决算表</w:t>
      </w:r>
    </w:p>
    <w:p w14:paraId="28484FF4">
      <w:pPr>
        <w:spacing w:before="252" w:line="223" w:lineRule="auto"/>
        <w:ind w:left="3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八、</w:t>
      </w:r>
      <w:r>
        <w:rPr>
          <w:rFonts w:hint="default" w:ascii="Times New Roman" w:hAnsi="Times New Roman" w:eastAsia="仿宋_GB2312" w:cs="Times New Roman"/>
          <w:spacing w:val="-8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国有资本经营预算财政拨款支出决算表</w:t>
      </w:r>
    </w:p>
    <w:p w14:paraId="4E593281">
      <w:pPr>
        <w:spacing w:before="249" w:line="223" w:lineRule="auto"/>
        <w:ind w:left="47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九、财政拨款“三公”经费支出决算表</w:t>
      </w:r>
    </w:p>
    <w:p w14:paraId="49738A68">
      <w:pPr>
        <w:spacing w:before="250" w:line="223" w:lineRule="auto"/>
        <w:ind w:left="4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十、部门预算项目支出绩效自评表</w:t>
      </w:r>
    </w:p>
    <w:p w14:paraId="47A5AD29">
      <w:pPr>
        <w:spacing w:before="249" w:line="223" w:lineRule="auto"/>
        <w:ind w:left="49"/>
        <w:outlineLvl w:val="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3"/>
          <w:sz w:val="31"/>
          <w:szCs w:val="31"/>
        </w:rPr>
        <w:t>第三部分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b/>
          <w:bCs/>
          <w:spacing w:val="3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-3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3"/>
          <w:sz w:val="31"/>
          <w:szCs w:val="31"/>
        </w:rPr>
        <w:t>年度部门决算情况说明</w:t>
      </w:r>
    </w:p>
    <w:p w14:paraId="0BB8BDA4">
      <w:pPr>
        <w:spacing w:before="250" w:line="223" w:lineRule="auto"/>
        <w:ind w:left="4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一、收入支出决算总体情况说明</w:t>
      </w:r>
    </w:p>
    <w:p w14:paraId="61F0F718">
      <w:pPr>
        <w:spacing w:before="250" w:line="223" w:lineRule="auto"/>
        <w:ind w:left="45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二、收入决算情况说明</w:t>
      </w:r>
    </w:p>
    <w:p w14:paraId="440B545A">
      <w:pPr>
        <w:spacing w:before="250" w:line="223" w:lineRule="auto"/>
        <w:ind w:left="4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三、支出决算情况说明</w:t>
      </w:r>
    </w:p>
    <w:p w14:paraId="374D8597">
      <w:pPr>
        <w:spacing w:before="249" w:line="223" w:lineRule="auto"/>
        <w:ind w:left="7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四、财政拨款收入支出决算总体情况说明</w:t>
      </w:r>
    </w:p>
    <w:p w14:paraId="4299EE1C">
      <w:pPr>
        <w:spacing w:line="223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6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6DE47465">
      <w:pPr>
        <w:spacing w:before="159" w:line="223" w:lineRule="auto"/>
        <w:ind w:left="4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五、一般公共预算财政拨款支出决算情况说明</w:t>
      </w:r>
    </w:p>
    <w:p w14:paraId="490EEEAD">
      <w:pPr>
        <w:spacing w:before="249" w:line="223" w:lineRule="auto"/>
        <w:ind w:left="38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六、一般公共预算财政拨款基本支出决算情况说明</w:t>
      </w:r>
    </w:p>
    <w:p w14:paraId="2AE5EF9A">
      <w:pPr>
        <w:spacing w:before="250" w:line="221" w:lineRule="auto"/>
        <w:ind w:left="4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七、政府性基金预算财政拨款收入支出决算情况说明</w:t>
      </w:r>
    </w:p>
    <w:p w14:paraId="6F9D939D">
      <w:pPr>
        <w:spacing w:before="251" w:line="223" w:lineRule="auto"/>
        <w:ind w:left="3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八、</w:t>
      </w:r>
      <w:r>
        <w:rPr>
          <w:rFonts w:hint="default" w:ascii="Times New Roman" w:hAnsi="Times New Roman" w:eastAsia="仿宋_GB2312" w:cs="Times New Roman"/>
          <w:spacing w:val="-9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国有资本经营预算财政拨款支出决算情况说明</w:t>
      </w:r>
    </w:p>
    <w:p w14:paraId="66FA0E3A">
      <w:pPr>
        <w:spacing w:before="250" w:line="223" w:lineRule="auto"/>
        <w:ind w:left="47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九、财政拨款“三公”经费支出决算情况说明</w:t>
      </w:r>
    </w:p>
    <w:p w14:paraId="10A05F20">
      <w:pPr>
        <w:spacing w:before="249" w:line="224" w:lineRule="auto"/>
        <w:ind w:left="4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十、绩效评价情况说明</w:t>
      </w:r>
    </w:p>
    <w:p w14:paraId="4AD887C9">
      <w:pPr>
        <w:spacing w:before="248" w:line="223" w:lineRule="auto"/>
        <w:ind w:left="4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十一、其他重要事项情况说明</w:t>
      </w:r>
    </w:p>
    <w:p w14:paraId="360DC758">
      <w:pPr>
        <w:spacing w:before="250" w:line="224" w:lineRule="auto"/>
        <w:ind w:left="4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z w:val="31"/>
          <w:szCs w:val="31"/>
        </w:rPr>
        <w:t>第四部分</w:t>
      </w:r>
      <w:r>
        <w:rPr>
          <w:rFonts w:hint="default" w:ascii="Times New Roman" w:hAnsi="Times New Roman" w:eastAsia="仿宋_GB2312" w:cs="Times New Roman"/>
          <w:spacing w:val="18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b/>
          <w:bCs/>
          <w:sz w:val="31"/>
          <w:szCs w:val="31"/>
        </w:rPr>
        <w:t>名词解释</w:t>
      </w:r>
    </w:p>
    <w:p w14:paraId="7C46C4A6">
      <w:pPr>
        <w:spacing w:line="224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7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453D766C">
      <w:pPr>
        <w:pStyle w:val="2"/>
        <w:spacing w:line="328" w:lineRule="auto"/>
      </w:pPr>
    </w:p>
    <w:p w14:paraId="696471FA">
      <w:pPr>
        <w:pStyle w:val="2"/>
        <w:spacing w:line="328" w:lineRule="auto"/>
      </w:pPr>
    </w:p>
    <w:p w14:paraId="00AC6016">
      <w:pPr>
        <w:spacing w:before="189" w:line="443" w:lineRule="exact"/>
        <w:ind w:left="2215"/>
        <w:outlineLvl w:val="0"/>
        <w:rPr>
          <w:rFonts w:hint="default" w:ascii="Times New Roman" w:hAnsi="Times New Roman" w:eastAsia="仿宋_GB2312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仿宋_GB2312" w:cs="Times New Roman"/>
          <w:b/>
          <w:bCs/>
          <w:spacing w:val="1"/>
          <w:position w:val="-2"/>
          <w:sz w:val="44"/>
          <w:szCs w:val="44"/>
        </w:rPr>
        <w:t>第一部分</w:t>
      </w:r>
      <w:r>
        <w:rPr>
          <w:rFonts w:hint="default" w:ascii="Times New Roman" w:hAnsi="Times New Roman" w:eastAsia="仿宋_GB2312" w:cs="Times New Roman"/>
          <w:b/>
          <w:bCs/>
          <w:spacing w:val="14"/>
          <w:position w:val="-2"/>
          <w:sz w:val="44"/>
          <w:szCs w:val="44"/>
        </w:rPr>
        <w:t xml:space="preserve">   </w:t>
      </w:r>
      <w:r>
        <w:rPr>
          <w:rFonts w:hint="default" w:ascii="Times New Roman" w:hAnsi="Times New Roman" w:eastAsia="仿宋_GB2312" w:cs="Times New Roman"/>
          <w:b/>
          <w:bCs/>
          <w:spacing w:val="1"/>
          <w:position w:val="-2"/>
          <w:sz w:val="44"/>
          <w:szCs w:val="44"/>
        </w:rPr>
        <w:t>部门概况</w:t>
      </w:r>
    </w:p>
    <w:p w14:paraId="69F4AA85">
      <w:pPr>
        <w:pStyle w:val="2"/>
        <w:spacing w:line="314" w:lineRule="auto"/>
        <w:rPr>
          <w:rFonts w:hint="default" w:ascii="Times New Roman" w:hAnsi="Times New Roman" w:eastAsia="仿宋_GB2312" w:cs="Times New Roman"/>
        </w:rPr>
      </w:pPr>
    </w:p>
    <w:p w14:paraId="6134E371">
      <w:pPr>
        <w:pStyle w:val="2"/>
        <w:spacing w:line="314" w:lineRule="auto"/>
        <w:rPr>
          <w:rFonts w:hint="default" w:ascii="Times New Roman" w:hAnsi="Times New Roman" w:eastAsia="仿宋_GB2312" w:cs="Times New Roman"/>
        </w:rPr>
      </w:pPr>
    </w:p>
    <w:p w14:paraId="5B152342">
      <w:pPr>
        <w:pStyle w:val="2"/>
        <w:spacing w:line="315" w:lineRule="auto"/>
        <w:rPr>
          <w:rFonts w:hint="default" w:ascii="Times New Roman" w:hAnsi="Times New Roman" w:eastAsia="仿宋_GB2312" w:cs="Times New Roman"/>
        </w:rPr>
      </w:pPr>
    </w:p>
    <w:p w14:paraId="6E4EB18B">
      <w:pPr>
        <w:spacing w:before="101" w:line="224" w:lineRule="auto"/>
        <w:ind w:left="751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一、部门主要职责</w:t>
      </w:r>
    </w:p>
    <w:p w14:paraId="770E0AAC">
      <w:pPr>
        <w:spacing w:before="101" w:line="218" w:lineRule="exact"/>
        <w:ind w:left="102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-8"/>
          <w:position w:val="-13"/>
          <w:sz w:val="31"/>
          <w:szCs w:val="31"/>
        </w:rPr>
        <w:t>……</w:t>
      </w:r>
    </w:p>
    <w:p w14:paraId="7D2D3073">
      <w:pPr>
        <w:ind w:firstLine="640" w:firstLineChars="200"/>
        <w:rPr>
          <w:rFonts w:hint="eastAsia" w:ascii="仿宋" w:hAnsi="仿宋" w:eastAsia="仿宋"/>
          <w:sz w:val="32"/>
          <w:lang w:eastAsia="zh-CN"/>
        </w:rPr>
      </w:pPr>
      <w:r>
        <w:rPr>
          <w:rFonts w:hint="eastAsia" w:ascii="仿宋" w:hAnsi="仿宋" w:eastAsia="仿宋"/>
          <w:sz w:val="32"/>
          <w:lang w:eastAsia="zh-CN"/>
        </w:rPr>
        <w:t>机构名称：榆树市恩育乡中心小学</w:t>
      </w:r>
    </w:p>
    <w:p w14:paraId="49A8A78F">
      <w:pPr>
        <w:ind w:firstLine="640" w:firstLineChars="200"/>
        <w:rPr>
          <w:rFonts w:hint="eastAsia" w:ascii="仿宋" w:hAnsi="仿宋" w:eastAsia="仿宋"/>
          <w:sz w:val="32"/>
          <w:lang w:eastAsia="zh-CN"/>
        </w:rPr>
      </w:pPr>
      <w:r>
        <w:rPr>
          <w:rFonts w:hint="eastAsia" w:ascii="仿宋" w:hAnsi="仿宋" w:eastAsia="仿宋"/>
          <w:sz w:val="32"/>
          <w:lang w:eastAsia="zh-CN"/>
        </w:rPr>
        <w:t>经济来源：全额拨款</w:t>
      </w:r>
    </w:p>
    <w:p w14:paraId="6630F57C">
      <w:pPr>
        <w:rPr>
          <w:rFonts w:hint="eastAsia" w:ascii="仿宋" w:hAnsi="仿宋" w:eastAsia="仿宋"/>
          <w:sz w:val="32"/>
          <w:lang w:eastAsia="zh-CN"/>
        </w:rPr>
      </w:pPr>
      <w:r>
        <w:rPr>
          <w:rFonts w:hint="eastAsia" w:ascii="仿宋" w:hAnsi="仿宋" w:eastAsia="仿宋"/>
          <w:sz w:val="32"/>
          <w:lang w:eastAsia="zh-CN"/>
        </w:rPr>
        <w:t xml:space="preserve">    学校主要职责：实施小学义务教育，促进基础教育发展，小学学历教育。</w:t>
      </w:r>
    </w:p>
    <w:p w14:paraId="48DFBE20">
      <w:pPr>
        <w:spacing w:before="251" w:line="224" w:lineRule="auto"/>
        <w:ind w:left="672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8"/>
          <w:sz w:val="31"/>
          <w:szCs w:val="31"/>
        </w:rPr>
        <w:t>二、机构设置及部门决算单位构成</w:t>
      </w:r>
    </w:p>
    <w:p w14:paraId="1660A4A9">
      <w:pPr>
        <w:spacing w:before="251" w:line="360" w:lineRule="auto"/>
        <w:ind w:firstLine="664" w:firstLineChars="200"/>
        <w:rPr>
          <w:rFonts w:hint="eastAsia" w:cs="Times New Roman" w:asciiTheme="minorEastAsia" w:hAnsiTheme="minorEastAsia" w:eastAsiaTheme="minorEastAsia"/>
          <w:b/>
          <w:bCs/>
          <w:sz w:val="32"/>
          <w:szCs w:val="32"/>
          <w:lang w:eastAsia="zh-CN"/>
        </w:rPr>
      </w:pPr>
      <w:r>
        <w:rPr>
          <w:rFonts w:cs="Times New Roman" w:asciiTheme="minorEastAsia" w:hAnsiTheme="minorEastAsia" w:eastAsiaTheme="minorEastAsia"/>
          <w:spacing w:val="6"/>
          <w:sz w:val="32"/>
          <w:szCs w:val="32"/>
          <w:lang w:eastAsia="zh-CN"/>
        </w:rPr>
        <w:t>根据上述职责，</w:t>
      </w:r>
      <w:r>
        <w:rPr>
          <w:rFonts w:hint="eastAsia" w:cs="Times New Roman" w:asciiTheme="minorEastAsia" w:hAnsiTheme="minorEastAsia" w:eastAsiaTheme="minorEastAsia"/>
          <w:sz w:val="32"/>
          <w:szCs w:val="32"/>
          <w:lang w:eastAsia="zh-CN"/>
        </w:rPr>
        <w:t>榆树市恩育乡中心小学</w:t>
      </w:r>
      <w:r>
        <w:rPr>
          <w:rFonts w:cs="Times New Roman" w:asciiTheme="minorEastAsia" w:hAnsiTheme="minorEastAsia" w:eastAsiaTheme="minorEastAsia"/>
          <w:spacing w:val="6"/>
          <w:sz w:val="32"/>
          <w:szCs w:val="32"/>
          <w:lang w:eastAsia="zh-CN"/>
        </w:rPr>
        <w:t>内设</w:t>
      </w:r>
      <w:r>
        <w:rPr>
          <w:rFonts w:hint="eastAsia" w:cs="Times New Roman" w:asciiTheme="minorEastAsia" w:hAnsiTheme="minorEastAsia" w:eastAsiaTheme="minorEastAsia"/>
          <w:spacing w:val="6"/>
          <w:sz w:val="32"/>
          <w:szCs w:val="32"/>
          <w:lang w:eastAsia="zh-CN"/>
        </w:rPr>
        <w:t>5</w:t>
      </w:r>
      <w:r>
        <w:rPr>
          <w:rFonts w:cs="Times New Roman" w:asciiTheme="minorEastAsia" w:hAnsiTheme="minorEastAsia" w:eastAsiaTheme="minorEastAsia"/>
          <w:spacing w:val="6"/>
          <w:sz w:val="32"/>
          <w:szCs w:val="32"/>
          <w:lang w:eastAsia="zh-CN"/>
        </w:rPr>
        <w:t>个机构，</w:t>
      </w:r>
      <w:r>
        <w:rPr>
          <w:rFonts w:cs="Times New Roman" w:asciiTheme="minorEastAsia" w:hAnsiTheme="minorEastAsia" w:eastAsiaTheme="minorEastAsia"/>
          <w:spacing w:val="-12"/>
          <w:sz w:val="32"/>
          <w:szCs w:val="32"/>
          <w:lang w:eastAsia="zh-CN"/>
        </w:rPr>
        <w:t>分别为</w:t>
      </w:r>
      <w:r>
        <w:rPr>
          <w:rFonts w:hint="eastAsia" w:cs="Times New Roman" w:asciiTheme="minorEastAsia" w:hAnsiTheme="minorEastAsia" w:eastAsiaTheme="minorEastAsia"/>
          <w:spacing w:val="-12"/>
          <w:sz w:val="32"/>
          <w:szCs w:val="32"/>
          <w:lang w:eastAsia="zh-CN"/>
        </w:rPr>
        <w:t>教导处、政工办、安全办、后勤、大队部</w:t>
      </w:r>
      <w:r>
        <w:rPr>
          <w:rFonts w:cs="Times New Roman" w:asciiTheme="minorEastAsia" w:hAnsiTheme="minorEastAsia" w:eastAsiaTheme="minorEastAsia"/>
          <w:spacing w:val="-12"/>
          <w:sz w:val="32"/>
          <w:szCs w:val="32"/>
          <w:lang w:eastAsia="zh-CN"/>
        </w:rPr>
        <w:t>。</w:t>
      </w:r>
      <w:r>
        <w:rPr>
          <w:rFonts w:cs="Times New Roman" w:asciiTheme="minorEastAsia" w:hAnsiTheme="minorEastAsia" w:eastAsiaTheme="minorEastAsia"/>
          <w:spacing w:val="8"/>
          <w:sz w:val="32"/>
          <w:szCs w:val="32"/>
          <w:lang w:eastAsia="zh-CN"/>
        </w:rPr>
        <w:t>纳入</w:t>
      </w:r>
      <w:r>
        <w:rPr>
          <w:rFonts w:hint="eastAsia" w:cs="Times New Roman" w:asciiTheme="minorEastAsia" w:hAnsiTheme="minorEastAsia" w:eastAsiaTheme="minorEastAsia"/>
          <w:sz w:val="32"/>
          <w:szCs w:val="32"/>
          <w:lang w:eastAsia="zh-CN"/>
        </w:rPr>
        <w:t>榆树市恩育乡中心小学</w:t>
      </w:r>
      <w:r>
        <w:rPr>
          <w:rFonts w:cs="Times New Roman" w:asciiTheme="minorEastAsia" w:hAnsiTheme="minorEastAsia" w:eastAsiaTheme="minorEastAsia"/>
          <w:spacing w:val="8"/>
          <w:sz w:val="32"/>
          <w:szCs w:val="32"/>
          <w:lang w:eastAsia="zh-CN"/>
        </w:rPr>
        <w:t>2023年度部门决算编制范</w:t>
      </w:r>
      <w:r>
        <w:rPr>
          <w:rFonts w:cs="Times New Roman" w:asciiTheme="minorEastAsia" w:hAnsiTheme="minorEastAsia" w:eastAsiaTheme="minorEastAsia"/>
          <w:spacing w:val="-6"/>
          <w:sz w:val="32"/>
          <w:szCs w:val="32"/>
          <w:lang w:eastAsia="zh-CN"/>
        </w:rPr>
        <w:t>围的单位包括：</w:t>
      </w:r>
    </w:p>
    <w:p w14:paraId="1499A6B6">
      <w:pPr>
        <w:spacing w:before="53" w:line="360" w:lineRule="auto"/>
        <w:ind w:left="691"/>
        <w:rPr>
          <w:rFonts w:hint="eastAsia" w:cs="Times New Roman" w:asciiTheme="minorEastAsia" w:hAnsiTheme="minorEastAsia" w:eastAsiaTheme="minorEastAsia"/>
          <w:sz w:val="32"/>
          <w:szCs w:val="32"/>
          <w:lang w:eastAsia="zh-CN"/>
        </w:rPr>
      </w:pPr>
      <w:r>
        <w:rPr>
          <w:rFonts w:cs="Times New Roman" w:asciiTheme="minorEastAsia" w:hAnsiTheme="minorEastAsia" w:eastAsiaTheme="minorEastAsia"/>
          <w:spacing w:val="7"/>
          <w:sz w:val="32"/>
          <w:szCs w:val="32"/>
          <w:lang w:eastAsia="zh-CN"/>
        </w:rPr>
        <w:t>1.</w:t>
      </w:r>
      <w:r>
        <w:rPr>
          <w:rFonts w:hint="eastAsia" w:cs="Times New Roman" w:asciiTheme="minorEastAsia" w:hAnsiTheme="minorEastAsia" w:eastAsiaTheme="minorEastAsia"/>
          <w:sz w:val="32"/>
          <w:szCs w:val="32"/>
          <w:lang w:eastAsia="zh-CN"/>
        </w:rPr>
        <w:t>榆树市恩育小学</w:t>
      </w:r>
      <w:r>
        <w:rPr>
          <w:rFonts w:cs="Times New Roman" w:asciiTheme="minorEastAsia" w:hAnsiTheme="minorEastAsia" w:eastAsiaTheme="minorEastAsia"/>
          <w:spacing w:val="7"/>
          <w:sz w:val="32"/>
          <w:szCs w:val="32"/>
          <w:lang w:eastAsia="zh-CN"/>
        </w:rPr>
        <w:t>本级</w:t>
      </w:r>
    </w:p>
    <w:p w14:paraId="4C2B5A8D">
      <w:pPr>
        <w:spacing w:before="102" w:line="362" w:lineRule="auto"/>
        <w:ind w:left="47" w:right="15" w:firstLine="628"/>
        <w:jc w:val="both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FF0000"/>
          <w:spacing w:val="6"/>
          <w:sz w:val="31"/>
          <w:szCs w:val="31"/>
        </w:rPr>
        <w:t>注：1.</w:t>
      </w:r>
      <w:r>
        <w:rPr>
          <w:rFonts w:hint="default" w:ascii="Times New Roman" w:hAnsi="Times New Roman" w:eastAsia="仿宋_GB2312" w:cs="Times New Roman"/>
          <w:color w:val="FF0000"/>
          <w:spacing w:val="-10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color w:val="FF0000"/>
          <w:spacing w:val="6"/>
          <w:sz w:val="31"/>
          <w:szCs w:val="31"/>
        </w:rPr>
        <w:t>“部门主要职责及机构设置情况”要公开。如</w:t>
      </w:r>
      <w:r>
        <w:rPr>
          <w:rFonts w:hint="eastAsia" w:ascii="Times New Roman" w:hAnsi="Times New Roman" w:eastAsia="仿宋_GB2312" w:cs="Times New Roman"/>
          <w:color w:val="FF0000"/>
          <w:spacing w:val="6"/>
          <w:sz w:val="31"/>
          <w:szCs w:val="31"/>
          <w:lang w:eastAsia="zh-CN"/>
        </w:rPr>
        <w:t>部</w:t>
      </w:r>
      <w:r>
        <w:rPr>
          <w:rFonts w:hint="default" w:ascii="Times New Roman" w:hAnsi="Times New Roman" w:eastAsia="仿宋_GB2312" w:cs="Times New Roman"/>
          <w:color w:val="FF000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color w:val="FF0000"/>
          <w:spacing w:val="8"/>
          <w:sz w:val="31"/>
          <w:szCs w:val="31"/>
        </w:rPr>
        <w:t>门“三定”方案涉密，可表述为“部门职能及机构设置情况</w:t>
      </w:r>
      <w:r>
        <w:rPr>
          <w:rFonts w:hint="default" w:ascii="Times New Roman" w:hAnsi="Times New Roman" w:eastAsia="仿宋_GB2312" w:cs="Times New Roman"/>
          <w:color w:val="FF0000"/>
          <w:spacing w:val="6"/>
          <w:sz w:val="31"/>
          <w:szCs w:val="31"/>
        </w:rPr>
        <w:t>涉密，按规定不予公开”。</w:t>
      </w:r>
    </w:p>
    <w:p w14:paraId="309BA1AB">
      <w:pPr>
        <w:spacing w:before="51" w:line="355" w:lineRule="auto"/>
        <w:ind w:left="30" w:right="16" w:firstLine="127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FF0000"/>
          <w:spacing w:val="8"/>
          <w:sz w:val="31"/>
          <w:szCs w:val="31"/>
        </w:rPr>
        <w:t>2.部门的决算公开“包括本级决算和所属单位决算</w:t>
      </w:r>
      <w:r>
        <w:rPr>
          <w:rFonts w:hint="default" w:ascii="Times New Roman" w:hAnsi="Times New Roman" w:eastAsia="仿宋_GB2312" w:cs="Times New Roman"/>
          <w:color w:val="FF0000"/>
          <w:spacing w:val="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color w:val="FF0000"/>
          <w:spacing w:val="3"/>
          <w:sz w:val="31"/>
          <w:szCs w:val="31"/>
        </w:rPr>
        <w:t>在内的汇总决算”。</w:t>
      </w:r>
    </w:p>
    <w:p w14:paraId="417692ED">
      <w:pPr>
        <w:spacing w:line="355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8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4EC7AA7D">
      <w:pPr>
        <w:pStyle w:val="2"/>
        <w:spacing w:line="328" w:lineRule="auto"/>
        <w:rPr>
          <w:rFonts w:hint="default" w:ascii="Times New Roman" w:hAnsi="Times New Roman" w:eastAsia="仿宋_GB2312" w:cs="Times New Roman"/>
        </w:rPr>
      </w:pPr>
    </w:p>
    <w:p w14:paraId="01CB53D0">
      <w:pPr>
        <w:pStyle w:val="2"/>
        <w:spacing w:line="328" w:lineRule="auto"/>
        <w:rPr>
          <w:rFonts w:hint="default" w:ascii="Times New Roman" w:hAnsi="Times New Roman" w:eastAsia="仿宋_GB2312" w:cs="Times New Roman"/>
        </w:rPr>
      </w:pPr>
    </w:p>
    <w:p w14:paraId="12D803E6">
      <w:pPr>
        <w:spacing w:before="189" w:line="186" w:lineRule="auto"/>
        <w:ind w:left="1142"/>
        <w:rPr>
          <w:rFonts w:hint="default" w:ascii="Times New Roman" w:hAnsi="Times New Roman" w:eastAsia="仿宋_GB2312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仿宋_GB2312" w:cs="Times New Roman"/>
          <w:b/>
          <w:bCs/>
          <w:sz w:val="44"/>
          <w:szCs w:val="44"/>
        </w:rPr>
        <w:t>第二部分</w:t>
      </w:r>
      <w:r>
        <w:rPr>
          <w:rFonts w:hint="default" w:ascii="Times New Roman" w:hAnsi="Times New Roman" w:eastAsia="仿宋_GB2312" w:cs="Times New Roman"/>
          <w:b/>
          <w:bCs/>
          <w:spacing w:val="111"/>
          <w:sz w:val="44"/>
          <w:szCs w:val="44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z w:val="43"/>
          <w:szCs w:val="43"/>
        </w:rPr>
        <w:t>2023</w:t>
      </w:r>
      <w:r>
        <w:rPr>
          <w:rFonts w:hint="default" w:ascii="Times New Roman" w:hAnsi="Times New Roman" w:eastAsia="仿宋_GB2312" w:cs="Times New Roman"/>
          <w:b/>
          <w:bCs/>
          <w:spacing w:val="-103"/>
          <w:sz w:val="43"/>
          <w:szCs w:val="43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z w:val="44"/>
          <w:szCs w:val="44"/>
        </w:rPr>
        <w:t>年度部门决算表</w:t>
      </w:r>
    </w:p>
    <w:p w14:paraId="56D5FF6E">
      <w:pPr>
        <w:pStyle w:val="2"/>
        <w:spacing w:line="268" w:lineRule="auto"/>
        <w:rPr>
          <w:rFonts w:hint="default" w:ascii="Times New Roman" w:hAnsi="Times New Roman" w:eastAsia="仿宋_GB2312" w:cs="Times New Roman"/>
        </w:rPr>
      </w:pPr>
    </w:p>
    <w:p w14:paraId="299A49F9">
      <w:pPr>
        <w:pStyle w:val="2"/>
        <w:spacing w:line="268" w:lineRule="auto"/>
        <w:rPr>
          <w:rFonts w:hint="default" w:ascii="Times New Roman" w:hAnsi="Times New Roman" w:eastAsia="仿宋_GB2312" w:cs="Times New Roman"/>
        </w:rPr>
      </w:pPr>
    </w:p>
    <w:p w14:paraId="1D04E47E">
      <w:pPr>
        <w:pStyle w:val="2"/>
        <w:spacing w:line="268" w:lineRule="auto"/>
        <w:rPr>
          <w:rFonts w:hint="default" w:ascii="Times New Roman" w:hAnsi="Times New Roman" w:eastAsia="仿宋_GB2312" w:cs="Times New Roman"/>
        </w:rPr>
      </w:pPr>
    </w:p>
    <w:p w14:paraId="24C6FFE1">
      <w:pPr>
        <w:spacing w:before="100" w:line="224" w:lineRule="auto"/>
        <w:ind w:left="672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一、收入支出决算总表</w:t>
      </w:r>
    </w:p>
    <w:p w14:paraId="647E8A9E">
      <w:pPr>
        <w:spacing w:before="101" w:line="5918" w:lineRule="exact"/>
        <w:ind w:firstLine="194"/>
        <w:rPr>
          <w:rFonts w:hint="eastAsia" w:ascii="Times New Roman" w:hAnsi="Times New Roman" w:eastAsia="仿宋_GB2312" w:cs="Times New Roman"/>
          <w:lang w:eastAsia="zh-CN"/>
        </w:rPr>
      </w:pPr>
      <w:r>
        <w:rPr>
          <w:rFonts w:hint="eastAsia" w:ascii="Times New Roman" w:hAnsi="Times New Roman" w:eastAsia="仿宋_GB2312" w:cs="Times New Roman"/>
          <w:lang w:eastAsia="zh-CN"/>
        </w:rPr>
        <w:drawing>
          <wp:inline distT="0" distB="0" distL="114300" distR="114300">
            <wp:extent cx="5291455" cy="2579370"/>
            <wp:effectExtent l="0" t="0" r="4445" b="11430"/>
            <wp:docPr id="1" name="图片 1" descr="2023年度部门决算公开表样_g01收入支出决算总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3年度部门决算公开表样_g01收入支出决算总表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291455" cy="257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447FB6">
      <w:pPr>
        <w:pStyle w:val="2"/>
        <w:spacing w:line="337" w:lineRule="auto"/>
        <w:rPr>
          <w:rFonts w:hint="default" w:ascii="Times New Roman" w:hAnsi="Times New Roman" w:eastAsia="仿宋_GB2312" w:cs="Times New Roman"/>
        </w:rPr>
      </w:pPr>
    </w:p>
    <w:p w14:paraId="66AD11A4">
      <w:pPr>
        <w:pStyle w:val="2"/>
        <w:spacing w:line="338" w:lineRule="auto"/>
        <w:rPr>
          <w:rFonts w:hint="default" w:ascii="Times New Roman" w:hAnsi="Times New Roman" w:eastAsia="仿宋_GB2312" w:cs="Times New Roman"/>
        </w:rPr>
      </w:pPr>
    </w:p>
    <w:p w14:paraId="517BD239">
      <w:pPr>
        <w:spacing w:before="101" w:line="224" w:lineRule="auto"/>
        <w:ind w:left="675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FF0000"/>
          <w:spacing w:val="4"/>
          <w:sz w:val="31"/>
          <w:szCs w:val="31"/>
        </w:rPr>
        <w:t>注：该表为应公开表，不得删除。</w:t>
      </w:r>
    </w:p>
    <w:p w14:paraId="6DF6997D">
      <w:pPr>
        <w:spacing w:line="224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9" w:type="default"/>
          <w:pgSz w:w="11907" w:h="16839"/>
          <w:pgMar w:top="1431" w:right="1785" w:bottom="1150" w:left="1785" w:header="0" w:footer="965" w:gutter="0"/>
          <w:cols w:space="720" w:num="1"/>
        </w:sectPr>
      </w:pPr>
    </w:p>
    <w:p w14:paraId="11FCF5A5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121D7DED">
      <w:pPr>
        <w:pStyle w:val="2"/>
        <w:spacing w:line="340" w:lineRule="auto"/>
        <w:rPr>
          <w:rFonts w:hint="default" w:ascii="Times New Roman" w:hAnsi="Times New Roman" w:eastAsia="仿宋_GB2312" w:cs="Times New Roman"/>
        </w:rPr>
      </w:pPr>
    </w:p>
    <w:p w14:paraId="5DA94C37">
      <w:pPr>
        <w:spacing w:before="101" w:line="224" w:lineRule="auto"/>
        <w:ind w:left="672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二、收入决算表</w:t>
      </w:r>
    </w:p>
    <w:p w14:paraId="7DAAE0E8">
      <w:pPr>
        <w:spacing w:before="209" w:line="5702" w:lineRule="exact"/>
        <w:ind w:firstLine="324"/>
        <w:rPr>
          <w:rFonts w:hint="eastAsia" w:ascii="Times New Roman" w:hAnsi="Times New Roman" w:eastAsia="仿宋_GB2312" w:cs="Times New Roman"/>
          <w:lang w:eastAsia="zh-CN"/>
        </w:rPr>
      </w:pPr>
      <w:r>
        <w:rPr>
          <w:rFonts w:hint="eastAsia" w:ascii="Times New Roman" w:hAnsi="Times New Roman" w:eastAsia="仿宋_GB2312" w:cs="Times New Roman"/>
          <w:lang w:eastAsia="zh-CN"/>
        </w:rPr>
        <w:drawing>
          <wp:inline distT="0" distB="0" distL="114300" distR="114300">
            <wp:extent cx="5273040" cy="2519045"/>
            <wp:effectExtent l="0" t="0" r="3810" b="14605"/>
            <wp:docPr id="2" name="图片 2" descr="2023年度部门决算公开表样_g02收入决算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023年度部门决算公开表样_g02收入决算表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519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430FB1">
      <w:pPr>
        <w:pStyle w:val="2"/>
        <w:spacing w:line="261" w:lineRule="auto"/>
        <w:rPr>
          <w:rFonts w:hint="default" w:ascii="Times New Roman" w:hAnsi="Times New Roman" w:eastAsia="仿宋_GB2312" w:cs="Times New Roman"/>
        </w:rPr>
      </w:pPr>
    </w:p>
    <w:p w14:paraId="4E763445">
      <w:pPr>
        <w:pStyle w:val="2"/>
        <w:spacing w:line="261" w:lineRule="auto"/>
        <w:rPr>
          <w:rFonts w:hint="default" w:ascii="Times New Roman" w:hAnsi="Times New Roman" w:eastAsia="仿宋_GB2312" w:cs="Times New Roman"/>
        </w:rPr>
      </w:pPr>
    </w:p>
    <w:p w14:paraId="2C74B845">
      <w:pPr>
        <w:pStyle w:val="2"/>
        <w:spacing w:line="262" w:lineRule="auto"/>
        <w:rPr>
          <w:rFonts w:hint="default" w:ascii="Times New Roman" w:hAnsi="Times New Roman" w:eastAsia="仿宋_GB2312" w:cs="Times New Roman"/>
        </w:rPr>
      </w:pPr>
    </w:p>
    <w:p w14:paraId="162B43AB">
      <w:pPr>
        <w:spacing w:before="101" w:line="356" w:lineRule="auto"/>
        <w:ind w:left="35" w:right="10" w:firstLine="63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FF0000"/>
          <w:spacing w:val="8"/>
          <w:sz w:val="31"/>
          <w:szCs w:val="31"/>
        </w:rPr>
        <w:t>注：该表为应公开表，不得删除。除涉密信息外，该表</w:t>
      </w:r>
      <w:r>
        <w:rPr>
          <w:rFonts w:hint="default" w:ascii="Times New Roman" w:hAnsi="Times New Roman" w:eastAsia="仿宋_GB2312" w:cs="Times New Roman"/>
          <w:color w:val="FF0000"/>
          <w:spacing w:val="1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color w:val="FF0000"/>
          <w:spacing w:val="8"/>
          <w:sz w:val="31"/>
          <w:szCs w:val="31"/>
        </w:rPr>
        <w:t>原则上应当细化公开到功能分类项级科目。</w:t>
      </w:r>
    </w:p>
    <w:p w14:paraId="6D22F1F0">
      <w:pPr>
        <w:spacing w:line="356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10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1405B62C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52B29CB1">
      <w:pPr>
        <w:pStyle w:val="2"/>
        <w:spacing w:line="340" w:lineRule="auto"/>
        <w:rPr>
          <w:rFonts w:hint="default" w:ascii="Times New Roman" w:hAnsi="Times New Roman" w:eastAsia="仿宋_GB2312" w:cs="Times New Roman"/>
        </w:rPr>
      </w:pPr>
    </w:p>
    <w:p w14:paraId="0F108625">
      <w:pPr>
        <w:spacing w:before="101" w:line="224" w:lineRule="auto"/>
        <w:ind w:left="674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三、支出决算表</w:t>
      </w:r>
    </w:p>
    <w:p w14:paraId="3382C71B">
      <w:pPr>
        <w:spacing w:before="151" w:line="5818" w:lineRule="exact"/>
        <w:ind w:firstLine="240"/>
        <w:rPr>
          <w:rFonts w:hint="eastAsia" w:ascii="Times New Roman" w:hAnsi="Times New Roman" w:eastAsia="仿宋_GB2312" w:cs="Times New Roman"/>
          <w:lang w:eastAsia="zh-CN"/>
        </w:rPr>
      </w:pPr>
      <w:r>
        <w:rPr>
          <w:rFonts w:hint="eastAsia" w:ascii="Times New Roman" w:hAnsi="Times New Roman" w:eastAsia="仿宋_GB2312" w:cs="Times New Roman"/>
          <w:lang w:eastAsia="zh-CN"/>
        </w:rPr>
        <w:drawing>
          <wp:inline distT="0" distB="0" distL="114300" distR="114300">
            <wp:extent cx="5293360" cy="2754630"/>
            <wp:effectExtent l="0" t="0" r="2540" b="7620"/>
            <wp:docPr id="3" name="图片 3" descr="2023年度部门决算公开表样_g03支出决算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023年度部门决算公开表样_g03支出决算表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293360" cy="275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F2B048">
      <w:pPr>
        <w:pStyle w:val="2"/>
        <w:spacing w:line="242" w:lineRule="auto"/>
        <w:rPr>
          <w:rFonts w:hint="default" w:ascii="Times New Roman" w:hAnsi="Times New Roman" w:eastAsia="仿宋_GB2312" w:cs="Times New Roman"/>
        </w:rPr>
      </w:pPr>
    </w:p>
    <w:p w14:paraId="5B79A916">
      <w:pPr>
        <w:pStyle w:val="2"/>
        <w:spacing w:line="242" w:lineRule="auto"/>
        <w:rPr>
          <w:rFonts w:hint="default" w:ascii="Times New Roman" w:hAnsi="Times New Roman" w:eastAsia="仿宋_GB2312" w:cs="Times New Roman"/>
        </w:rPr>
      </w:pPr>
    </w:p>
    <w:p w14:paraId="2075DD5A">
      <w:pPr>
        <w:pStyle w:val="2"/>
        <w:spacing w:line="242" w:lineRule="auto"/>
        <w:rPr>
          <w:rFonts w:hint="default" w:ascii="Times New Roman" w:hAnsi="Times New Roman" w:eastAsia="仿宋_GB2312" w:cs="Times New Roman"/>
        </w:rPr>
      </w:pPr>
    </w:p>
    <w:p w14:paraId="40C7BA39">
      <w:pPr>
        <w:spacing w:before="101" w:line="356" w:lineRule="auto"/>
        <w:ind w:left="35" w:right="10" w:firstLine="63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FF0000"/>
          <w:spacing w:val="8"/>
          <w:sz w:val="31"/>
          <w:szCs w:val="31"/>
        </w:rPr>
        <w:t>注：该表为应公开表，不得删除。除涉密信息外，该表</w:t>
      </w:r>
      <w:r>
        <w:rPr>
          <w:rFonts w:hint="default" w:ascii="Times New Roman" w:hAnsi="Times New Roman" w:eastAsia="仿宋_GB2312" w:cs="Times New Roman"/>
          <w:color w:val="FF0000"/>
          <w:spacing w:val="1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color w:val="FF0000"/>
          <w:spacing w:val="8"/>
          <w:sz w:val="31"/>
          <w:szCs w:val="31"/>
        </w:rPr>
        <w:t>原则上应当细化公开到功能分类项级科目。</w:t>
      </w:r>
    </w:p>
    <w:p w14:paraId="579DE5B8">
      <w:pPr>
        <w:spacing w:line="356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11" w:type="default"/>
          <w:pgSz w:w="11907" w:h="16839"/>
          <w:pgMar w:top="1431" w:right="1785" w:bottom="1150" w:left="1785" w:header="0" w:footer="965" w:gutter="0"/>
          <w:cols w:space="720" w:num="1"/>
        </w:sectPr>
      </w:pPr>
    </w:p>
    <w:p w14:paraId="77B33F4B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077BAD87">
      <w:pPr>
        <w:pStyle w:val="2"/>
        <w:spacing w:line="340" w:lineRule="auto"/>
        <w:rPr>
          <w:rFonts w:hint="default" w:ascii="Times New Roman" w:hAnsi="Times New Roman" w:eastAsia="仿宋_GB2312" w:cs="Times New Roman"/>
        </w:rPr>
      </w:pPr>
    </w:p>
    <w:p w14:paraId="4D97E2E3">
      <w:pPr>
        <w:spacing w:before="101" w:line="224" w:lineRule="auto"/>
        <w:ind w:left="686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四、财政拨款收入支出决算总表</w:t>
      </w:r>
    </w:p>
    <w:p w14:paraId="02FFDFE5">
      <w:pPr>
        <w:pStyle w:val="2"/>
        <w:spacing w:line="245" w:lineRule="auto"/>
        <w:rPr>
          <w:rFonts w:hint="default" w:ascii="Times New Roman" w:hAnsi="Times New Roman" w:eastAsia="仿宋_GB2312" w:cs="Times New Roman"/>
        </w:rPr>
      </w:pPr>
    </w:p>
    <w:p w14:paraId="0587E358">
      <w:pPr>
        <w:spacing w:line="4378" w:lineRule="exact"/>
        <w:ind w:firstLine="14"/>
        <w:rPr>
          <w:rFonts w:hint="eastAsia" w:ascii="Times New Roman" w:hAnsi="Times New Roman" w:eastAsia="仿宋_GB2312" w:cs="Times New Roman"/>
          <w:lang w:eastAsia="zh-CN"/>
        </w:rPr>
      </w:pPr>
      <w:r>
        <w:rPr>
          <w:rFonts w:hint="eastAsia" w:ascii="Times New Roman" w:hAnsi="Times New Roman" w:eastAsia="仿宋_GB2312" w:cs="Times New Roman"/>
          <w:lang w:eastAsia="zh-CN"/>
        </w:rPr>
        <w:drawing>
          <wp:inline distT="0" distB="0" distL="114300" distR="114300">
            <wp:extent cx="5273675" cy="2176780"/>
            <wp:effectExtent l="0" t="0" r="3175" b="13970"/>
            <wp:docPr id="4" name="图片 4" descr="2023年度部门决算公开表样_g04财政拨款收入支出决算总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023年度部门决算公开表样_g04财政拨款收入支出决算总表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176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D07DA9">
      <w:pPr>
        <w:pStyle w:val="2"/>
        <w:spacing w:line="273" w:lineRule="auto"/>
        <w:rPr>
          <w:rFonts w:hint="default" w:ascii="Times New Roman" w:hAnsi="Times New Roman" w:eastAsia="仿宋_GB2312" w:cs="Times New Roman"/>
        </w:rPr>
      </w:pPr>
    </w:p>
    <w:p w14:paraId="5348E15F">
      <w:pPr>
        <w:pStyle w:val="2"/>
        <w:spacing w:line="273" w:lineRule="auto"/>
        <w:rPr>
          <w:rFonts w:hint="default" w:ascii="Times New Roman" w:hAnsi="Times New Roman" w:eastAsia="仿宋_GB2312" w:cs="Times New Roman"/>
        </w:rPr>
      </w:pPr>
    </w:p>
    <w:p w14:paraId="01E0E8C5">
      <w:pPr>
        <w:pStyle w:val="2"/>
        <w:spacing w:line="274" w:lineRule="auto"/>
        <w:rPr>
          <w:rFonts w:hint="default" w:ascii="Times New Roman" w:hAnsi="Times New Roman" w:eastAsia="仿宋_GB2312" w:cs="Times New Roman"/>
        </w:rPr>
      </w:pPr>
    </w:p>
    <w:p w14:paraId="5D9E0467">
      <w:pPr>
        <w:spacing w:before="100" w:line="224" w:lineRule="auto"/>
        <w:ind w:left="675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FF0000"/>
          <w:spacing w:val="4"/>
          <w:sz w:val="31"/>
          <w:szCs w:val="31"/>
        </w:rPr>
        <w:t>注：该表为应公开表，不得删除。</w:t>
      </w:r>
    </w:p>
    <w:p w14:paraId="6EF36368">
      <w:pPr>
        <w:spacing w:line="224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12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1F3DEA1A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723E7371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36050C6E">
      <w:pPr>
        <w:spacing w:before="100" w:line="224" w:lineRule="auto"/>
        <w:ind w:left="676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8"/>
          <w:sz w:val="31"/>
          <w:szCs w:val="31"/>
        </w:rPr>
        <w:t>五、一般公共预算财政拨款支出决算表</w:t>
      </w:r>
    </w:p>
    <w:p w14:paraId="44A3E5C6">
      <w:pPr>
        <w:spacing w:before="229" w:line="4102" w:lineRule="exact"/>
        <w:ind w:firstLine="14"/>
        <w:rPr>
          <w:rFonts w:hint="eastAsia" w:ascii="Times New Roman" w:hAnsi="Times New Roman" w:eastAsia="仿宋_GB2312" w:cs="Times New Roman"/>
          <w:lang w:eastAsia="zh-CN"/>
        </w:rPr>
      </w:pPr>
      <w:r>
        <w:rPr>
          <w:rFonts w:hint="eastAsia" w:ascii="Times New Roman" w:hAnsi="Times New Roman" w:eastAsia="仿宋_GB2312" w:cs="Times New Roman"/>
          <w:lang w:eastAsia="zh-CN"/>
        </w:rPr>
        <w:drawing>
          <wp:inline distT="0" distB="0" distL="114300" distR="114300">
            <wp:extent cx="5275580" cy="2973705"/>
            <wp:effectExtent l="0" t="0" r="1270" b="17145"/>
            <wp:docPr id="5" name="图片 5" descr="2023年度部门决算公开表样_g05一般公共预算财政拨款支出决算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023年度部门决算公开表样_g05一般公共预算财政拨款支出决算表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275580" cy="297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B51C58">
      <w:pPr>
        <w:pStyle w:val="2"/>
        <w:spacing w:line="268" w:lineRule="auto"/>
        <w:rPr>
          <w:rFonts w:hint="default" w:ascii="Times New Roman" w:hAnsi="Times New Roman" w:eastAsia="仿宋_GB2312" w:cs="Times New Roman"/>
        </w:rPr>
      </w:pPr>
    </w:p>
    <w:p w14:paraId="736A4FBD">
      <w:pPr>
        <w:pStyle w:val="2"/>
        <w:spacing w:line="268" w:lineRule="auto"/>
        <w:rPr>
          <w:rFonts w:hint="default" w:ascii="Times New Roman" w:hAnsi="Times New Roman" w:eastAsia="仿宋_GB2312" w:cs="Times New Roman"/>
        </w:rPr>
      </w:pPr>
    </w:p>
    <w:p w14:paraId="7238BFA7">
      <w:pPr>
        <w:pStyle w:val="2"/>
        <w:spacing w:line="268" w:lineRule="auto"/>
        <w:rPr>
          <w:rFonts w:hint="default" w:ascii="Times New Roman" w:hAnsi="Times New Roman" w:eastAsia="仿宋_GB2312" w:cs="Times New Roman"/>
        </w:rPr>
      </w:pPr>
    </w:p>
    <w:p w14:paraId="0967728A">
      <w:pPr>
        <w:spacing w:before="101" w:line="361" w:lineRule="auto"/>
        <w:ind w:left="43" w:right="15" w:firstLine="632"/>
        <w:jc w:val="both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FF0000"/>
          <w:spacing w:val="8"/>
          <w:sz w:val="31"/>
          <w:szCs w:val="31"/>
        </w:rPr>
        <w:t>注：除涉密信息外，该表原则上应当细化公开到功能分</w:t>
      </w:r>
      <w:r>
        <w:rPr>
          <w:rFonts w:hint="default" w:ascii="Times New Roman" w:hAnsi="Times New Roman" w:eastAsia="仿宋_GB2312" w:cs="Times New Roman"/>
          <w:color w:val="FF0000"/>
          <w:spacing w:val="1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color w:val="FF0000"/>
          <w:spacing w:val="8"/>
          <w:sz w:val="31"/>
          <w:szCs w:val="31"/>
        </w:rPr>
        <w:t>类项级科目。没有一般公共预算拨款的应公开空表，不得删</w:t>
      </w:r>
      <w:r>
        <w:rPr>
          <w:rFonts w:hint="default" w:ascii="Times New Roman" w:hAnsi="Times New Roman" w:eastAsia="仿宋_GB2312" w:cs="Times New Roman"/>
          <w:color w:val="FF0000"/>
          <w:spacing w:val="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color w:val="FF0000"/>
          <w:spacing w:val="6"/>
          <w:sz w:val="31"/>
          <w:szCs w:val="31"/>
        </w:rPr>
        <w:t>除。同时要附说明</w:t>
      </w:r>
      <w:r>
        <w:rPr>
          <w:rFonts w:hint="default" w:ascii="Times New Roman" w:hAnsi="Times New Roman" w:eastAsia="仿宋_GB2312" w:cs="Times New Roman"/>
          <w:color w:val="FF0000"/>
          <w:spacing w:val="-10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color w:val="FF0000"/>
          <w:spacing w:val="6"/>
          <w:sz w:val="31"/>
          <w:szCs w:val="31"/>
        </w:rPr>
        <w:t>“本单位没有一般公共预算拨款”。</w:t>
      </w:r>
    </w:p>
    <w:p w14:paraId="3C2C1E2A">
      <w:pPr>
        <w:spacing w:line="361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13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2E199CED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25DCCA73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0FF11184">
      <w:pPr>
        <w:spacing w:before="100" w:line="224" w:lineRule="auto"/>
        <w:ind w:left="677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8"/>
          <w:sz w:val="31"/>
          <w:szCs w:val="31"/>
        </w:rPr>
        <w:t>六、一般公共预算财政拨款基本支出决算明细表</w:t>
      </w:r>
    </w:p>
    <w:p w14:paraId="2ACC0C1B">
      <w:pPr>
        <w:spacing w:before="234" w:line="5964" w:lineRule="exact"/>
        <w:ind w:firstLine="237"/>
        <w:rPr>
          <w:rFonts w:hint="eastAsia" w:ascii="Times New Roman" w:hAnsi="Times New Roman" w:eastAsia="仿宋_GB2312" w:cs="Times New Roman"/>
          <w:lang w:eastAsia="zh-CN"/>
        </w:rPr>
      </w:pPr>
      <w:r>
        <w:rPr>
          <w:rFonts w:hint="eastAsia" w:ascii="Times New Roman" w:hAnsi="Times New Roman" w:eastAsia="仿宋_GB2312" w:cs="Times New Roman"/>
          <w:lang w:eastAsia="zh-CN"/>
        </w:rPr>
        <w:drawing>
          <wp:inline distT="0" distB="0" distL="114300" distR="114300">
            <wp:extent cx="5275580" cy="3134995"/>
            <wp:effectExtent l="0" t="0" r="1270" b="8255"/>
            <wp:docPr id="6" name="图片 6" descr="2023年度部门决算公开表样_g06一般公共预算财政拨款基本支出决算明细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023年度部门决算公开表样_g06一般公共预算财政拨款基本支出决算明细表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275580" cy="3134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28D1B1">
      <w:pPr>
        <w:pStyle w:val="2"/>
        <w:spacing w:line="270" w:lineRule="auto"/>
        <w:rPr>
          <w:rFonts w:hint="default" w:ascii="Times New Roman" w:hAnsi="Times New Roman" w:eastAsia="仿宋_GB2312" w:cs="Times New Roman"/>
        </w:rPr>
      </w:pPr>
    </w:p>
    <w:p w14:paraId="4EE00500">
      <w:pPr>
        <w:pStyle w:val="2"/>
        <w:spacing w:line="270" w:lineRule="auto"/>
        <w:rPr>
          <w:rFonts w:hint="default" w:ascii="Times New Roman" w:hAnsi="Times New Roman" w:eastAsia="仿宋_GB2312" w:cs="Times New Roman"/>
        </w:rPr>
      </w:pPr>
    </w:p>
    <w:p w14:paraId="388B6C52">
      <w:pPr>
        <w:pStyle w:val="2"/>
        <w:spacing w:line="270" w:lineRule="auto"/>
        <w:rPr>
          <w:rFonts w:hint="default" w:ascii="Times New Roman" w:hAnsi="Times New Roman" w:eastAsia="仿宋_GB2312" w:cs="Times New Roman"/>
        </w:rPr>
      </w:pPr>
    </w:p>
    <w:p w14:paraId="22E35824">
      <w:pPr>
        <w:spacing w:before="100" w:line="361" w:lineRule="auto"/>
        <w:ind w:left="43" w:right="17" w:firstLine="632"/>
        <w:jc w:val="both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FF0000"/>
          <w:spacing w:val="8"/>
          <w:sz w:val="31"/>
          <w:szCs w:val="31"/>
        </w:rPr>
        <w:t>注：除涉密信息外，该表原则上应当细化公开到经济分 类款级科目。没有一般公共预算拨款的应公开空表，不得删</w:t>
      </w:r>
      <w:r>
        <w:rPr>
          <w:rFonts w:hint="default" w:ascii="Times New Roman" w:hAnsi="Times New Roman" w:eastAsia="仿宋_GB2312" w:cs="Times New Roman"/>
          <w:color w:val="FF0000"/>
          <w:spacing w:val="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color w:val="FF0000"/>
          <w:spacing w:val="4"/>
          <w:sz w:val="31"/>
          <w:szCs w:val="31"/>
        </w:rPr>
        <w:t>除。同时要附说明</w:t>
      </w:r>
      <w:r>
        <w:rPr>
          <w:rFonts w:hint="default" w:ascii="Times New Roman" w:hAnsi="Times New Roman" w:eastAsia="仿宋_GB2312" w:cs="Times New Roman"/>
          <w:color w:val="FF0000"/>
          <w:spacing w:val="-8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color w:val="FF0000"/>
          <w:spacing w:val="4"/>
          <w:sz w:val="31"/>
          <w:szCs w:val="31"/>
        </w:rPr>
        <w:t>“本单位没有一般公共预算拨款”。</w:t>
      </w:r>
    </w:p>
    <w:p w14:paraId="668A763F">
      <w:pPr>
        <w:spacing w:line="361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14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5B140DFA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27C053C9">
      <w:pPr>
        <w:pStyle w:val="2"/>
        <w:spacing w:line="340" w:lineRule="auto"/>
        <w:rPr>
          <w:rFonts w:hint="default" w:ascii="Times New Roman" w:hAnsi="Times New Roman" w:eastAsia="仿宋_GB2312" w:cs="Times New Roman"/>
        </w:rPr>
      </w:pPr>
    </w:p>
    <w:p w14:paraId="79907CA8">
      <w:pPr>
        <w:spacing w:before="101" w:line="224" w:lineRule="auto"/>
        <w:ind w:left="666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8"/>
          <w:sz w:val="31"/>
          <w:szCs w:val="31"/>
        </w:rPr>
        <w:t>七、政府性基金预算财政拨款收入支出决算表</w:t>
      </w:r>
    </w:p>
    <w:p w14:paraId="11F74E36">
      <w:pPr>
        <w:spacing w:before="235" w:line="4714" w:lineRule="exact"/>
        <w:ind w:firstLine="240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position w:val="-94"/>
        </w:rPr>
        <w:drawing>
          <wp:inline distT="0" distB="0" distL="0" distR="0">
            <wp:extent cx="4987925" cy="2993390"/>
            <wp:effectExtent l="0" t="0" r="0" b="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987925" cy="2993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11733">
      <w:pPr>
        <w:pStyle w:val="2"/>
        <w:spacing w:line="270" w:lineRule="auto"/>
        <w:rPr>
          <w:rFonts w:hint="default" w:ascii="Times New Roman" w:hAnsi="Times New Roman" w:eastAsia="仿宋_GB2312" w:cs="Times New Roman"/>
        </w:rPr>
      </w:pPr>
    </w:p>
    <w:p w14:paraId="37958CB3">
      <w:pPr>
        <w:pStyle w:val="2"/>
        <w:spacing w:line="270" w:lineRule="auto"/>
        <w:rPr>
          <w:rFonts w:hint="default" w:ascii="Times New Roman" w:hAnsi="Times New Roman" w:eastAsia="仿宋_GB2312" w:cs="Times New Roman"/>
        </w:rPr>
      </w:pPr>
    </w:p>
    <w:p w14:paraId="186DA18B">
      <w:pPr>
        <w:pStyle w:val="2"/>
        <w:spacing w:line="271" w:lineRule="auto"/>
        <w:rPr>
          <w:rFonts w:hint="default" w:ascii="Times New Roman" w:hAnsi="Times New Roman" w:eastAsia="仿宋_GB2312" w:cs="Times New Roman"/>
        </w:rPr>
      </w:pPr>
    </w:p>
    <w:p w14:paraId="7FAE5FD3">
      <w:pPr>
        <w:spacing w:before="101" w:line="364" w:lineRule="auto"/>
        <w:ind w:left="33" w:right="14" w:firstLine="64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FF0000"/>
          <w:spacing w:val="8"/>
          <w:sz w:val="31"/>
          <w:szCs w:val="31"/>
        </w:rPr>
        <w:t>注：除涉密信息外，该表原则上应当细化公开到功能分 类项级科目。没有政府性基金预算财政拨款的应公开空表，</w:t>
      </w:r>
      <w:r>
        <w:rPr>
          <w:rFonts w:hint="default" w:ascii="Times New Roman" w:hAnsi="Times New Roman" w:eastAsia="仿宋_GB2312" w:cs="Times New Roman"/>
          <w:color w:val="FF0000"/>
          <w:spacing w:val="1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color w:val="FF0000"/>
          <w:spacing w:val="7"/>
          <w:sz w:val="31"/>
          <w:szCs w:val="31"/>
        </w:rPr>
        <w:t>不得删除。同时要附说明</w:t>
      </w:r>
      <w:r>
        <w:rPr>
          <w:rFonts w:hint="default" w:ascii="Times New Roman" w:hAnsi="Times New Roman" w:eastAsia="仿宋_GB2312" w:cs="Times New Roman"/>
          <w:color w:val="FF0000"/>
          <w:spacing w:val="-11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color w:val="FF0000"/>
          <w:spacing w:val="7"/>
          <w:sz w:val="31"/>
          <w:szCs w:val="31"/>
        </w:rPr>
        <w:t>“本单位没有政府性基金预</w:t>
      </w:r>
      <w:r>
        <w:rPr>
          <w:rFonts w:hint="default" w:ascii="Times New Roman" w:hAnsi="Times New Roman" w:eastAsia="仿宋_GB2312" w:cs="Times New Roman"/>
          <w:color w:val="FF0000"/>
          <w:spacing w:val="6"/>
          <w:sz w:val="31"/>
          <w:szCs w:val="31"/>
        </w:rPr>
        <w:t>算财</w:t>
      </w:r>
      <w:r>
        <w:rPr>
          <w:rFonts w:hint="default" w:ascii="Times New Roman" w:hAnsi="Times New Roman" w:eastAsia="仿宋_GB2312" w:cs="Times New Roman"/>
          <w:color w:val="FF000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color w:val="FF0000"/>
          <w:spacing w:val="4"/>
          <w:sz w:val="31"/>
          <w:szCs w:val="31"/>
        </w:rPr>
        <w:t>政拨款”。</w:t>
      </w:r>
    </w:p>
    <w:p w14:paraId="3390690F">
      <w:pPr>
        <w:spacing w:line="364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15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68FD1EDA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6B2CBEAF">
      <w:pPr>
        <w:pStyle w:val="2"/>
        <w:spacing w:line="340" w:lineRule="auto"/>
        <w:rPr>
          <w:rFonts w:hint="default" w:ascii="Times New Roman" w:hAnsi="Times New Roman" w:eastAsia="仿宋_GB2312" w:cs="Times New Roman"/>
        </w:rPr>
      </w:pPr>
    </w:p>
    <w:p w14:paraId="0E10C43E">
      <w:pPr>
        <w:spacing w:before="101" w:line="224" w:lineRule="auto"/>
        <w:ind w:left="667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8"/>
          <w:sz w:val="31"/>
          <w:szCs w:val="31"/>
        </w:rPr>
        <w:t>八、国有资本经营预算财政拨款支出决算表</w:t>
      </w:r>
    </w:p>
    <w:p w14:paraId="45E2B815">
      <w:pPr>
        <w:spacing w:before="182" w:line="4817" w:lineRule="exact"/>
        <w:ind w:firstLine="28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position w:val="-96"/>
        </w:rPr>
        <w:drawing>
          <wp:inline distT="0" distB="0" distL="0" distR="0">
            <wp:extent cx="5254625" cy="3058160"/>
            <wp:effectExtent l="0" t="0" r="0" b="0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255259" cy="3058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700DE4">
      <w:pPr>
        <w:pStyle w:val="2"/>
        <w:spacing w:line="253" w:lineRule="auto"/>
        <w:rPr>
          <w:rFonts w:hint="default" w:ascii="Times New Roman" w:hAnsi="Times New Roman" w:eastAsia="仿宋_GB2312" w:cs="Times New Roman"/>
        </w:rPr>
      </w:pPr>
    </w:p>
    <w:p w14:paraId="49D71A80">
      <w:pPr>
        <w:pStyle w:val="2"/>
        <w:spacing w:line="253" w:lineRule="auto"/>
        <w:rPr>
          <w:rFonts w:hint="default" w:ascii="Times New Roman" w:hAnsi="Times New Roman" w:eastAsia="仿宋_GB2312" w:cs="Times New Roman"/>
        </w:rPr>
      </w:pPr>
    </w:p>
    <w:p w14:paraId="6461A985">
      <w:pPr>
        <w:pStyle w:val="2"/>
        <w:spacing w:line="253" w:lineRule="auto"/>
        <w:rPr>
          <w:rFonts w:hint="default" w:ascii="Times New Roman" w:hAnsi="Times New Roman" w:eastAsia="仿宋_GB2312" w:cs="Times New Roman"/>
        </w:rPr>
      </w:pPr>
    </w:p>
    <w:p w14:paraId="44A965E7">
      <w:pPr>
        <w:spacing w:before="101" w:line="364" w:lineRule="auto"/>
        <w:ind w:left="24" w:right="13" w:firstLine="650"/>
        <w:jc w:val="both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FF0000"/>
          <w:spacing w:val="8"/>
          <w:sz w:val="31"/>
          <w:szCs w:val="31"/>
        </w:rPr>
        <w:t xml:space="preserve">注：除涉密信息外，该表原则上应当细化公开到功能分 </w:t>
      </w:r>
      <w:r>
        <w:rPr>
          <w:rFonts w:hint="default" w:ascii="Times New Roman" w:hAnsi="Times New Roman" w:eastAsia="仿宋_GB2312" w:cs="Times New Roman"/>
          <w:color w:val="FF0000"/>
          <w:spacing w:val="21"/>
          <w:sz w:val="31"/>
          <w:szCs w:val="31"/>
        </w:rPr>
        <w:t>类项级科目。没有国有资本经营预算财政拨款的应公开空</w:t>
      </w:r>
      <w:r>
        <w:rPr>
          <w:rFonts w:hint="default" w:ascii="Times New Roman" w:hAnsi="Times New Roman" w:eastAsia="仿宋_GB2312" w:cs="Times New Roman"/>
          <w:color w:val="FF0000"/>
          <w:spacing w:val="1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color w:val="FF0000"/>
          <w:spacing w:val="7"/>
          <w:sz w:val="31"/>
          <w:szCs w:val="31"/>
        </w:rPr>
        <w:t>表，不得删除。同时要附说明</w:t>
      </w:r>
      <w:r>
        <w:rPr>
          <w:rFonts w:hint="default" w:ascii="Times New Roman" w:hAnsi="Times New Roman" w:eastAsia="仿宋_GB2312" w:cs="Times New Roman"/>
          <w:color w:val="FF0000"/>
          <w:spacing w:val="-10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color w:val="FF0000"/>
          <w:spacing w:val="7"/>
          <w:sz w:val="31"/>
          <w:szCs w:val="31"/>
        </w:rPr>
        <w:t>“本单位没有国有资本经营预</w:t>
      </w:r>
      <w:r>
        <w:rPr>
          <w:rFonts w:hint="default" w:ascii="Times New Roman" w:hAnsi="Times New Roman" w:eastAsia="仿宋_GB2312" w:cs="Times New Roman"/>
          <w:color w:val="FF0000"/>
          <w:sz w:val="31"/>
          <w:szCs w:val="31"/>
        </w:rPr>
        <w:t xml:space="preserve"> 算财政拨款”。</w:t>
      </w:r>
    </w:p>
    <w:p w14:paraId="682F9F58">
      <w:pPr>
        <w:spacing w:line="364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16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44EBBC8B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495BE596">
      <w:pPr>
        <w:pStyle w:val="2"/>
        <w:spacing w:line="340" w:lineRule="auto"/>
        <w:rPr>
          <w:rFonts w:hint="default" w:ascii="Times New Roman" w:hAnsi="Times New Roman" w:eastAsia="仿宋_GB2312" w:cs="Times New Roman"/>
        </w:rPr>
      </w:pPr>
    </w:p>
    <w:p w14:paraId="75BF3284">
      <w:pPr>
        <w:spacing w:before="101" w:line="224" w:lineRule="auto"/>
        <w:ind w:left="675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8"/>
          <w:sz w:val="31"/>
          <w:szCs w:val="31"/>
        </w:rPr>
        <w:t>九、财政拨款“三公”经费支出决算表</w:t>
      </w:r>
    </w:p>
    <w:p w14:paraId="278AA62F">
      <w:pPr>
        <w:spacing w:before="96" w:line="5302" w:lineRule="exact"/>
        <w:ind w:firstLine="237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position w:val="-106"/>
        </w:rPr>
        <w:drawing>
          <wp:inline distT="0" distB="0" distL="0" distR="0">
            <wp:extent cx="4991100" cy="3366770"/>
            <wp:effectExtent l="0" t="0" r="0" b="0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3366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167C5C">
      <w:pPr>
        <w:spacing w:before="154" w:line="362" w:lineRule="auto"/>
        <w:ind w:left="32" w:right="12" w:firstLine="643"/>
        <w:jc w:val="both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FF0000"/>
          <w:spacing w:val="8"/>
          <w:sz w:val="31"/>
          <w:szCs w:val="31"/>
        </w:rPr>
        <w:t>注：没有财政拨款“三公”经费支出的应公开空表，不</w:t>
      </w:r>
      <w:r>
        <w:rPr>
          <w:rFonts w:hint="default" w:ascii="Times New Roman" w:hAnsi="Times New Roman" w:eastAsia="仿宋_GB2312" w:cs="Times New Roman"/>
          <w:color w:val="FF0000"/>
          <w:spacing w:val="1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color w:val="FF0000"/>
          <w:spacing w:val="5"/>
          <w:sz w:val="31"/>
          <w:szCs w:val="31"/>
        </w:rPr>
        <w:t>得删除。同时要附说明“本单位没有财政拨款</w:t>
      </w:r>
      <w:r>
        <w:rPr>
          <w:rFonts w:hint="default" w:ascii="Times New Roman" w:hAnsi="Times New Roman" w:eastAsia="仿宋_GB2312" w:cs="Times New Roman"/>
          <w:color w:val="FF0000"/>
          <w:spacing w:val="-9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color w:val="FF0000"/>
          <w:spacing w:val="5"/>
          <w:sz w:val="31"/>
          <w:szCs w:val="31"/>
        </w:rPr>
        <w:t>“</w:t>
      </w:r>
      <w:r>
        <w:rPr>
          <w:rFonts w:hint="default" w:ascii="Times New Roman" w:hAnsi="Times New Roman" w:eastAsia="仿宋_GB2312" w:cs="Times New Roman"/>
          <w:color w:val="FF0000"/>
          <w:spacing w:val="-11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color w:val="FF0000"/>
          <w:spacing w:val="5"/>
          <w:sz w:val="31"/>
          <w:szCs w:val="31"/>
        </w:rPr>
        <w:t>三公”经费</w:t>
      </w:r>
      <w:r>
        <w:rPr>
          <w:rFonts w:hint="default" w:ascii="Times New Roman" w:hAnsi="Times New Roman" w:eastAsia="仿宋_GB2312" w:cs="Times New Roman"/>
          <w:color w:val="FF000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color w:val="FF0000"/>
          <w:spacing w:val="44"/>
          <w:sz w:val="31"/>
          <w:szCs w:val="31"/>
        </w:rPr>
        <w:t>支出。”</w:t>
      </w:r>
    </w:p>
    <w:p w14:paraId="69359435">
      <w:pPr>
        <w:spacing w:line="362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17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17CEAD5A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4224E53D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1DE4AD14">
      <w:pPr>
        <w:spacing w:before="100" w:line="224" w:lineRule="auto"/>
        <w:ind w:left="30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8"/>
          <w:sz w:val="31"/>
          <w:szCs w:val="31"/>
        </w:rPr>
        <w:t>十、部门预算项目支出绩效自评表</w:t>
      </w:r>
    </w:p>
    <w:p w14:paraId="58930D1D">
      <w:pPr>
        <w:pStyle w:val="2"/>
        <w:spacing w:line="261" w:lineRule="auto"/>
        <w:rPr>
          <w:rFonts w:hint="default" w:ascii="Times New Roman" w:hAnsi="Times New Roman" w:eastAsia="仿宋_GB2312" w:cs="Times New Roman"/>
        </w:rPr>
      </w:pPr>
    </w:p>
    <w:p w14:paraId="4437F56F">
      <w:pPr>
        <w:pStyle w:val="2"/>
        <w:spacing w:line="261" w:lineRule="auto"/>
        <w:rPr>
          <w:rFonts w:hint="default" w:ascii="Times New Roman" w:hAnsi="Times New Roman" w:eastAsia="仿宋_GB2312" w:cs="Times New Roman"/>
        </w:rPr>
      </w:pPr>
    </w:p>
    <w:p w14:paraId="06A97532">
      <w:pPr>
        <w:pStyle w:val="2"/>
        <w:spacing w:line="261" w:lineRule="auto"/>
        <w:rPr>
          <w:rFonts w:hint="default" w:ascii="Times New Roman" w:hAnsi="Times New Roman" w:eastAsia="仿宋_GB2312" w:cs="Times New Roman"/>
        </w:rPr>
      </w:pPr>
    </w:p>
    <w:p w14:paraId="5775F52E">
      <w:pPr>
        <w:spacing w:line="9847" w:lineRule="exact"/>
        <w:ind w:firstLine="297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position w:val="-196"/>
        </w:rPr>
        <w:drawing>
          <wp:inline distT="0" distB="0" distL="0" distR="0">
            <wp:extent cx="4912995" cy="6252210"/>
            <wp:effectExtent l="0" t="0" r="0" b="0"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913629" cy="6252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D889DD">
      <w:pPr>
        <w:spacing w:line="9847" w:lineRule="exact"/>
        <w:rPr>
          <w:rFonts w:hint="default" w:ascii="Times New Roman" w:hAnsi="Times New Roman" w:eastAsia="仿宋_GB2312" w:cs="Times New Roman"/>
        </w:rPr>
        <w:sectPr>
          <w:footerReference r:id="rId18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4531689E">
      <w:pPr>
        <w:spacing w:before="225" w:line="443" w:lineRule="exact"/>
        <w:ind w:left="482"/>
        <w:outlineLvl w:val="0"/>
        <w:rPr>
          <w:rFonts w:hint="default" w:ascii="Times New Roman" w:hAnsi="Times New Roman" w:eastAsia="仿宋_GB2312" w:cs="Times New Roman"/>
          <w:b/>
          <w:bCs/>
          <w:sz w:val="43"/>
          <w:szCs w:val="43"/>
        </w:rPr>
      </w:pPr>
      <w:r>
        <w:rPr>
          <w:rFonts w:hint="default" w:ascii="Times New Roman" w:hAnsi="Times New Roman" w:eastAsia="仿宋_GB2312" w:cs="Times New Roman"/>
          <w:b/>
          <w:bCs/>
          <w:spacing w:val="5"/>
          <w:position w:val="-2"/>
          <w:sz w:val="43"/>
          <w:szCs w:val="43"/>
        </w:rPr>
        <w:t>第三部分</w:t>
      </w:r>
      <w:r>
        <w:rPr>
          <w:rFonts w:hint="default" w:ascii="Times New Roman" w:hAnsi="Times New Roman" w:eastAsia="仿宋_GB2312" w:cs="Times New Roman"/>
          <w:b/>
          <w:bCs/>
          <w:spacing w:val="103"/>
          <w:position w:val="-2"/>
          <w:sz w:val="43"/>
          <w:szCs w:val="43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5"/>
          <w:position w:val="-2"/>
          <w:sz w:val="43"/>
          <w:szCs w:val="43"/>
        </w:rPr>
        <w:t>2023年度部门决算情况说明</w:t>
      </w:r>
    </w:p>
    <w:p w14:paraId="1583DF46">
      <w:pPr>
        <w:pStyle w:val="2"/>
        <w:spacing w:line="314" w:lineRule="auto"/>
        <w:rPr>
          <w:rFonts w:hint="default" w:ascii="Times New Roman" w:hAnsi="Times New Roman" w:eastAsia="仿宋_GB2312" w:cs="Times New Roman"/>
        </w:rPr>
      </w:pPr>
    </w:p>
    <w:p w14:paraId="4B5E6447">
      <w:pPr>
        <w:pStyle w:val="2"/>
        <w:spacing w:line="314" w:lineRule="auto"/>
        <w:rPr>
          <w:rFonts w:hint="default" w:ascii="Times New Roman" w:hAnsi="Times New Roman" w:eastAsia="仿宋_GB2312" w:cs="Times New Roman"/>
        </w:rPr>
      </w:pPr>
    </w:p>
    <w:p w14:paraId="19128DE2">
      <w:pPr>
        <w:pStyle w:val="2"/>
        <w:spacing w:line="315" w:lineRule="auto"/>
        <w:rPr>
          <w:rFonts w:hint="default" w:ascii="Times New Roman" w:hAnsi="Times New Roman" w:eastAsia="仿宋_GB2312" w:cs="Times New Roman"/>
        </w:rPr>
      </w:pPr>
    </w:p>
    <w:p w14:paraId="2D59620E">
      <w:pPr>
        <w:spacing w:before="101" w:line="224" w:lineRule="auto"/>
        <w:ind w:left="672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一、收入支出决算总体情况说明</w:t>
      </w:r>
    </w:p>
    <w:p w14:paraId="50ACBFA3">
      <w:pPr>
        <w:spacing w:before="248" w:line="362" w:lineRule="auto"/>
        <w:ind w:left="36" w:right="113" w:firstLine="634"/>
        <w:rPr>
          <w:rFonts w:hint="default" w:ascii="Times New Roman" w:hAnsi="Times New Roman" w:eastAsia="仿宋_GB2312" w:cs="Times New Roman"/>
          <w:sz w:val="31"/>
          <w:szCs w:val="31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-2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年度收、支总计均为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1,965.43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 xml:space="preserve"> 万元。与</w:t>
      </w:r>
      <w:r>
        <w:rPr>
          <w:rFonts w:hint="default" w:ascii="Times New Roman" w:hAnsi="Times New Roman" w:eastAsia="仿宋_GB2312" w:cs="Times New Roman"/>
          <w:spacing w:val="-3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2022</w:t>
      </w:r>
      <w:r>
        <w:rPr>
          <w:rFonts w:hint="default" w:ascii="Times New Roman" w:hAnsi="Times New Roman" w:eastAsia="仿宋_GB2312" w:cs="Times New Roman"/>
          <w:spacing w:val="-3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年度相比，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收、支总计各增加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2.01</w:t>
      </w:r>
      <w:r>
        <w:rPr>
          <w:rFonts w:hint="default" w:ascii="Times New Roman" w:hAnsi="Times New Roman" w:eastAsia="仿宋_GB2312" w:cs="Times New Roman"/>
          <w:spacing w:val="3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万元，增长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0.1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%。主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0"/>
          <w:sz w:val="31"/>
          <w:szCs w:val="31"/>
        </w:rPr>
        <w:t>要原因：</w:t>
      </w:r>
      <w:r>
        <w:rPr>
          <w:rFonts w:hint="eastAsia" w:ascii="Times New Roman" w:hAnsi="Times New Roman" w:eastAsia="仿宋_GB2312" w:cs="Times New Roman"/>
          <w:spacing w:val="-68"/>
          <w:sz w:val="31"/>
          <w:szCs w:val="31"/>
          <w:lang w:val="en-US" w:eastAsia="zh-CN"/>
        </w:rPr>
        <w:t>本年度增加清算中人职业年金。</w:t>
      </w:r>
    </w:p>
    <w:p w14:paraId="46D36E01">
      <w:pPr>
        <w:pStyle w:val="2"/>
        <w:spacing w:line="260" w:lineRule="auto"/>
        <w:rPr>
          <w:rFonts w:hint="default" w:ascii="Times New Roman" w:hAnsi="Times New Roman" w:eastAsia="仿宋_GB2312" w:cs="Times New Roman"/>
        </w:rPr>
      </w:pPr>
    </w:p>
    <w:p w14:paraId="2758BBDE">
      <w:pPr>
        <w:spacing w:before="101" w:line="356" w:lineRule="auto"/>
        <w:ind w:left="138" w:right="82" w:firstLine="615"/>
        <w:rPr>
          <w:rFonts w:hint="default" w:ascii="Times New Roman" w:hAnsi="Times New Roman" w:eastAsia="仿宋_GB2312" w:cs="Times New Roman"/>
          <w:color w:val="FF0000"/>
          <w:spacing w:val="2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FF0000"/>
          <w:spacing w:val="12"/>
          <w:sz w:val="31"/>
          <w:szCs w:val="31"/>
        </w:rPr>
        <w:t>注:决算收支增减变化情况要说明，可做柱</w:t>
      </w:r>
      <w:r>
        <w:rPr>
          <w:rFonts w:hint="default" w:ascii="Times New Roman" w:hAnsi="Times New Roman" w:eastAsia="仿宋_GB2312" w:cs="Times New Roman"/>
          <w:color w:val="FF0000"/>
          <w:spacing w:val="11"/>
          <w:sz w:val="31"/>
          <w:szCs w:val="31"/>
        </w:rPr>
        <w:t>形图进行分</w:t>
      </w:r>
      <w:r>
        <w:rPr>
          <w:rFonts w:hint="default" w:ascii="Times New Roman" w:hAnsi="Times New Roman" w:eastAsia="仿宋_GB2312" w:cs="Times New Roman"/>
          <w:color w:val="FF000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color w:val="FF0000"/>
          <w:spacing w:val="2"/>
          <w:sz w:val="31"/>
          <w:szCs w:val="31"/>
        </w:rPr>
        <w:t>析对比。</w:t>
      </w:r>
    </w:p>
    <w:p w14:paraId="767EDFCD">
      <w:pPr>
        <w:spacing w:before="101" w:line="356" w:lineRule="auto"/>
        <w:ind w:right="82"/>
        <w:rPr>
          <w:rFonts w:hint="eastAsia" w:ascii="Times New Roman" w:hAnsi="Times New Roman" w:eastAsia="仿宋_GB2312" w:cs="Times New Roman"/>
          <w:color w:val="FF0000"/>
          <w:spacing w:val="2"/>
          <w:sz w:val="31"/>
          <w:szCs w:val="31"/>
          <w:lang w:eastAsia="zh-CN"/>
        </w:rPr>
      </w:pPr>
      <w:r>
        <w:rPr>
          <w:rFonts w:hint="eastAsia" w:ascii="Times New Roman" w:hAnsi="Times New Roman" w:eastAsia="仿宋_GB2312" w:cs="Times New Roman"/>
          <w:color w:val="FF0000"/>
          <w:spacing w:val="2"/>
          <w:sz w:val="31"/>
          <w:szCs w:val="31"/>
          <w:lang w:eastAsia="zh-CN"/>
        </w:rPr>
        <w:drawing>
          <wp:inline distT="0" distB="0" distL="114300" distR="114300">
            <wp:extent cx="5256530" cy="2988310"/>
            <wp:effectExtent l="5080" t="4445" r="15240" b="55245"/>
            <wp:docPr id="7" name="图表 7" descr="7b0a202020202263686172745265734964223a20223230343731383238220a7d0a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14:paraId="56C1F422">
      <w:pPr>
        <w:spacing w:before="50" w:line="224" w:lineRule="auto"/>
        <w:ind w:left="672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二、收入决算情况说明</w:t>
      </w:r>
    </w:p>
    <w:p w14:paraId="7F512259">
      <w:pPr>
        <w:spacing w:before="253" w:line="368" w:lineRule="auto"/>
        <w:ind w:left="23" w:firstLine="644"/>
        <w:jc w:val="both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本年收入合计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1965.43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万元，其中：财政拨款收入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 xml:space="preserve">1965.36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-8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比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上年</w:t>
      </w:r>
      <w:r>
        <w:rPr>
          <w:rFonts w:hint="eastAsia" w:ascii="Times New Roman" w:hAnsi="Times New Roman" w:eastAsia="仿宋_GB2312" w:cs="Times New Roman"/>
          <w:spacing w:val="6"/>
          <w:sz w:val="31"/>
          <w:szCs w:val="31"/>
          <w:lang w:val="en-US" w:eastAsia="zh-CN"/>
        </w:rPr>
        <w:t>增加1.99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万元，</w:t>
      </w:r>
      <w:r>
        <w:rPr>
          <w:rFonts w:hint="eastAsia" w:ascii="Times New Roman" w:hAnsi="Times New Roman" w:eastAsia="仿宋_GB2312" w:cs="Times New Roman"/>
          <w:spacing w:val="6"/>
          <w:sz w:val="31"/>
          <w:szCs w:val="31"/>
          <w:lang w:val="en-US" w:eastAsia="zh-CN"/>
        </w:rPr>
        <w:t>增长0.1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%，主要是</w:t>
      </w:r>
      <w:r>
        <w:rPr>
          <w:rFonts w:hint="eastAsia" w:ascii="Times New Roman" w:hAnsi="Times New Roman" w:eastAsia="仿宋_GB2312" w:cs="Times New Roman"/>
          <w:spacing w:val="6"/>
          <w:sz w:val="31"/>
          <w:szCs w:val="31"/>
          <w:lang w:val="en-US" w:eastAsia="zh-CN"/>
        </w:rPr>
        <w:t>有本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年初结转资金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；上</w:t>
      </w:r>
      <w:r>
        <w:rPr>
          <w:rFonts w:hint="default" w:ascii="Times New Roman" w:hAnsi="Times New Roman" w:eastAsia="仿宋_GB2312" w:cs="Times New Roman"/>
          <w:spacing w:val="-15"/>
          <w:sz w:val="31"/>
          <w:szCs w:val="31"/>
        </w:rPr>
        <w:t>级补助收入</w:t>
      </w:r>
      <w:r>
        <w:rPr>
          <w:rFonts w:hint="eastAsia" w:ascii="Times New Roman" w:hAnsi="Times New Roman" w:eastAsia="仿宋_GB2312" w:cs="Times New Roman"/>
          <w:spacing w:val="44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-15"/>
          <w:sz w:val="31"/>
          <w:szCs w:val="31"/>
        </w:rPr>
        <w:t>万元，比上年增加</w:t>
      </w:r>
      <w:r>
        <w:rPr>
          <w:rFonts w:hint="eastAsia" w:ascii="Times New Roman" w:hAnsi="Times New Roman" w:eastAsia="仿宋_GB2312" w:cs="Times New Roman"/>
          <w:spacing w:val="-15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-15"/>
          <w:sz w:val="31"/>
          <w:szCs w:val="31"/>
        </w:rPr>
        <w:t>万元，增长</w:t>
      </w:r>
      <w:r>
        <w:rPr>
          <w:rFonts w:hint="eastAsia" w:ascii="Times New Roman" w:hAnsi="Times New Roman" w:eastAsia="仿宋_GB2312" w:cs="Times New Roman"/>
          <w:spacing w:val="-15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-15"/>
          <w:sz w:val="31"/>
          <w:szCs w:val="31"/>
        </w:rPr>
        <w:t>%，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主要是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eastAsia="zh-CN"/>
        </w:rPr>
        <w:t>没有增减变化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 xml:space="preserve">；事业收入 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 xml:space="preserve"> 万元，</w:t>
      </w:r>
      <w:r>
        <w:rPr>
          <w:rFonts w:hint="default" w:ascii="Times New Roman" w:hAnsi="Times New Roman" w:eastAsia="仿宋_GB2312" w:cs="Times New Roman"/>
          <w:spacing w:val="-8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比上年增加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增长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 xml:space="preserve"> %，主要是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eastAsia="zh-CN"/>
        </w:rPr>
        <w:t>没有增减变化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；经营收入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 xml:space="preserve">  万元，</w:t>
      </w:r>
      <w:r>
        <w:rPr>
          <w:rFonts w:hint="default" w:ascii="Times New Roman" w:hAnsi="Times New Roman" w:eastAsia="仿宋_GB2312" w:cs="Times New Roman"/>
          <w:spacing w:val="-8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比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上年增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加（减少）万元，增长</w:t>
      </w:r>
      <w:r>
        <w:rPr>
          <w:rFonts w:hint="eastAsia" w:ascii="Times New Roman" w:hAnsi="Times New Roman" w:eastAsia="仿宋_GB2312" w:cs="Times New Roman"/>
          <w:spacing w:val="7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 xml:space="preserve"> %，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主要是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eastAsia="zh-CN"/>
        </w:rPr>
        <w:t>没有增减变化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；附属单位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9"/>
          <w:sz w:val="31"/>
          <w:szCs w:val="31"/>
        </w:rPr>
        <w:t xml:space="preserve">上缴收入 </w:t>
      </w:r>
      <w:r>
        <w:rPr>
          <w:rFonts w:hint="eastAsia" w:ascii="Times New Roman" w:hAnsi="Times New Roman" w:eastAsia="仿宋_GB2312" w:cs="Times New Roman"/>
          <w:spacing w:val="-9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-9"/>
          <w:sz w:val="31"/>
          <w:szCs w:val="31"/>
        </w:rPr>
        <w:t xml:space="preserve"> 万元，比上年增加</w:t>
      </w:r>
      <w:r>
        <w:rPr>
          <w:rFonts w:hint="eastAsia" w:ascii="Times New Roman" w:hAnsi="Times New Roman" w:eastAsia="仿宋_GB2312" w:cs="Times New Roman"/>
          <w:spacing w:val="-9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-9"/>
          <w:sz w:val="31"/>
          <w:szCs w:val="31"/>
        </w:rPr>
        <w:t>万元，增长</w:t>
      </w:r>
      <w:r>
        <w:rPr>
          <w:rFonts w:hint="eastAsia" w:ascii="Times New Roman" w:hAnsi="Times New Roman" w:eastAsia="仿宋_GB2312" w:cs="Times New Roman"/>
          <w:spacing w:val="-9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-3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9"/>
          <w:sz w:val="31"/>
          <w:szCs w:val="31"/>
        </w:rPr>
        <w:t>%，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主要是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eastAsia="zh-CN"/>
        </w:rPr>
        <w:t>没有增减变化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；其他收入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 xml:space="preserve">0.07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 xml:space="preserve"> 万元，</w:t>
      </w:r>
      <w:r>
        <w:rPr>
          <w:rFonts w:hint="default" w:ascii="Times New Roman" w:hAnsi="Times New Roman" w:eastAsia="仿宋_GB2312" w:cs="Times New Roman"/>
          <w:spacing w:val="-8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比上年增加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0.02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增长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28.6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%，主要是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银行存款利息增加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。</w:t>
      </w:r>
    </w:p>
    <w:p w14:paraId="1D542B15">
      <w:pPr>
        <w:spacing w:before="52" w:line="356" w:lineRule="auto"/>
        <w:ind w:left="33" w:right="86" w:firstLine="641"/>
        <w:rPr>
          <w:rFonts w:hint="default" w:ascii="Times New Roman" w:hAnsi="Times New Roman" w:eastAsia="仿宋_GB2312" w:cs="Times New Roman"/>
          <w:color w:val="FF0000"/>
          <w:spacing w:val="-1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FF0000"/>
          <w:spacing w:val="8"/>
          <w:sz w:val="31"/>
          <w:szCs w:val="31"/>
        </w:rPr>
        <w:t>注：决算收支增减变化情况要说明，可做饼形图进行分</w:t>
      </w:r>
      <w:r>
        <w:rPr>
          <w:rFonts w:hint="default" w:ascii="Times New Roman" w:hAnsi="Times New Roman" w:eastAsia="仿宋_GB2312" w:cs="Times New Roman"/>
          <w:color w:val="FF0000"/>
          <w:spacing w:val="1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color w:val="FF0000"/>
          <w:spacing w:val="-10"/>
          <w:sz w:val="31"/>
          <w:szCs w:val="31"/>
        </w:rPr>
        <w:t>析对比。</w:t>
      </w:r>
    </w:p>
    <w:p w14:paraId="74F9E5D5">
      <w:pPr>
        <w:spacing w:before="52" w:line="356" w:lineRule="auto"/>
        <w:ind w:right="86"/>
        <w:rPr>
          <w:rFonts w:hint="eastAsia" w:ascii="Times New Roman" w:hAnsi="Times New Roman" w:eastAsia="仿宋_GB2312" w:cs="Times New Roman"/>
          <w:color w:val="FF0000"/>
          <w:spacing w:val="-10"/>
          <w:sz w:val="31"/>
          <w:szCs w:val="31"/>
          <w:lang w:eastAsia="zh-CN"/>
        </w:rPr>
      </w:pPr>
      <w:r>
        <w:rPr>
          <w:rFonts w:hint="eastAsia" w:ascii="Times New Roman" w:hAnsi="Times New Roman" w:eastAsia="仿宋_GB2312" w:cs="Times New Roman"/>
          <w:color w:val="FF0000"/>
          <w:spacing w:val="-10"/>
          <w:sz w:val="31"/>
          <w:szCs w:val="31"/>
          <w:lang w:eastAsia="zh-CN"/>
        </w:rPr>
        <w:drawing>
          <wp:inline distT="0" distB="0" distL="114300" distR="114300">
            <wp:extent cx="5256530" cy="2988310"/>
            <wp:effectExtent l="5080" t="4445" r="15240" b="55245"/>
            <wp:docPr id="8" name="图表 8" descr="7b0a202020202263686172745265734964223a20223230343736343637220a7d0a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14:paraId="4E3F8255">
      <w:pPr>
        <w:spacing w:before="158" w:line="224" w:lineRule="auto"/>
        <w:ind w:left="67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三、支出决算情况说明</w:t>
      </w:r>
    </w:p>
    <w:p w14:paraId="5D02CC71">
      <w:pPr>
        <w:spacing w:before="251" w:line="368" w:lineRule="auto"/>
        <w:ind w:left="21" w:firstLine="645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 xml:space="preserve">本年支出合计 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 xml:space="preserve">1965.43 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 xml:space="preserve"> 万元，其中：基本支出</w:t>
      </w:r>
      <w:r>
        <w:rPr>
          <w:rFonts w:hint="default" w:ascii="Times New Roman" w:hAnsi="Times New Roman" w:eastAsia="仿宋_GB2312" w:cs="Times New Roman"/>
          <w:spacing w:val="24"/>
          <w:sz w:val="31"/>
          <w:szCs w:val="31"/>
        </w:rPr>
        <w:t xml:space="preserve"> </w:t>
      </w:r>
      <w:r>
        <w:rPr>
          <w:rFonts w:hint="eastAsia" w:ascii="Times New Roman" w:hAnsi="Times New Roman" w:eastAsia="仿宋_GB2312" w:cs="Times New Roman"/>
          <w:spacing w:val="24"/>
          <w:sz w:val="31"/>
          <w:szCs w:val="31"/>
          <w:lang w:val="en-US" w:eastAsia="zh-CN"/>
        </w:rPr>
        <w:t xml:space="preserve">1965.43  </w:t>
      </w:r>
      <w:r>
        <w:rPr>
          <w:rFonts w:hint="default" w:ascii="Times New Roman" w:hAnsi="Times New Roman" w:eastAsia="仿宋_GB2312" w:cs="Times New Roman"/>
          <w:spacing w:val="2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-8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比上年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增加</w:t>
      </w:r>
      <w:r>
        <w:rPr>
          <w:rFonts w:hint="eastAsia" w:ascii="Times New Roman" w:hAnsi="Times New Roman" w:eastAsia="仿宋_GB2312" w:cs="Times New Roman"/>
          <w:spacing w:val="7"/>
          <w:sz w:val="31"/>
          <w:szCs w:val="31"/>
          <w:lang w:val="en-US" w:eastAsia="zh-CN"/>
        </w:rPr>
        <w:t>2.01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万元，增长</w:t>
      </w:r>
      <w:r>
        <w:rPr>
          <w:rFonts w:hint="eastAsia" w:ascii="Times New Roman" w:hAnsi="Times New Roman" w:eastAsia="仿宋_GB2312" w:cs="Times New Roman"/>
          <w:spacing w:val="7"/>
          <w:sz w:val="31"/>
          <w:szCs w:val="31"/>
          <w:lang w:val="en-US" w:eastAsia="zh-CN"/>
        </w:rPr>
        <w:t>0.1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 xml:space="preserve"> %，主要是</w:t>
      </w:r>
      <w:r>
        <w:rPr>
          <w:rFonts w:hint="eastAsia" w:ascii="Times New Roman" w:hAnsi="Times New Roman" w:eastAsia="仿宋_GB2312" w:cs="Times New Roman"/>
          <w:spacing w:val="6"/>
          <w:sz w:val="31"/>
          <w:szCs w:val="31"/>
          <w:lang w:val="en-US" w:eastAsia="zh-CN"/>
        </w:rPr>
        <w:t>清算退休中人职业年金</w:t>
      </w:r>
      <w:r>
        <w:rPr>
          <w:rFonts w:hint="eastAsia" w:ascii="Times New Roman" w:hAnsi="Times New Roman" w:eastAsia="仿宋_GB2312" w:cs="Times New Roman"/>
          <w:spacing w:val="3"/>
          <w:sz w:val="31"/>
          <w:szCs w:val="31"/>
          <w:lang w:eastAsia="zh-CN"/>
        </w:rPr>
        <w:t>；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项目支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出</w:t>
      </w:r>
      <w:r>
        <w:rPr>
          <w:rFonts w:hint="default" w:ascii="Times New Roman" w:hAnsi="Times New Roman" w:eastAsia="仿宋_GB2312" w:cs="Times New Roman"/>
          <w:spacing w:val="47"/>
          <w:sz w:val="31"/>
          <w:szCs w:val="31"/>
        </w:rPr>
        <w:t xml:space="preserve"> </w:t>
      </w:r>
      <w:r>
        <w:rPr>
          <w:rFonts w:hint="eastAsia" w:ascii="Times New Roman" w:hAnsi="Times New Roman" w:eastAsia="仿宋_GB2312" w:cs="Times New Roman"/>
          <w:spacing w:val="47"/>
          <w:sz w:val="31"/>
          <w:szCs w:val="31"/>
          <w:lang w:val="en-US" w:eastAsia="zh-CN"/>
        </w:rPr>
        <w:t xml:space="preserve">0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-7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比上年增加</w:t>
      </w:r>
      <w:r>
        <w:rPr>
          <w:rFonts w:hint="eastAsia" w:ascii="Times New Roman" w:hAnsi="Times New Roman" w:eastAsia="仿宋_GB2312" w:cs="Times New Roman"/>
          <w:spacing w:val="3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万元，增长</w:t>
      </w:r>
      <w:r>
        <w:rPr>
          <w:rFonts w:hint="eastAsia" w:ascii="Times New Roman" w:hAnsi="Times New Roman" w:eastAsia="仿宋_GB2312" w:cs="Times New Roman"/>
          <w:spacing w:val="3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5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%，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主要是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eastAsia="zh-CN"/>
        </w:rPr>
        <w:t>没有增减变化</w:t>
      </w:r>
      <w:r>
        <w:rPr>
          <w:rFonts w:hint="default" w:ascii="Times New Roman" w:hAnsi="Times New Roman" w:eastAsia="仿宋_GB2312" w:cs="Times New Roman"/>
          <w:spacing w:val="-2"/>
          <w:sz w:val="31"/>
          <w:szCs w:val="31"/>
        </w:rPr>
        <w:t xml:space="preserve">；上缴上级支出 </w:t>
      </w:r>
      <w:r>
        <w:rPr>
          <w:rFonts w:hint="eastAsia" w:ascii="Times New Roman" w:hAnsi="Times New Roman" w:eastAsia="仿宋_GB2312" w:cs="Times New Roman"/>
          <w:spacing w:val="-2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-2"/>
          <w:sz w:val="31"/>
          <w:szCs w:val="31"/>
        </w:rPr>
        <w:t xml:space="preserve"> 万元，比上年增加</w:t>
      </w:r>
      <w:r>
        <w:rPr>
          <w:rFonts w:hint="eastAsia" w:ascii="Times New Roman" w:hAnsi="Times New Roman" w:eastAsia="仿宋_GB2312" w:cs="Times New Roman"/>
          <w:spacing w:val="-2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-2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增长</w:t>
      </w:r>
      <w:r>
        <w:rPr>
          <w:rFonts w:hint="eastAsia" w:ascii="Times New Roman" w:hAnsi="Times New Roman" w:eastAsia="仿宋_GB2312" w:cs="Times New Roman"/>
          <w:spacing w:val="2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5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%，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主要是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eastAsia="zh-CN"/>
        </w:rPr>
        <w:t>没有增减变化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；经营支出</w:t>
      </w:r>
      <w:r>
        <w:rPr>
          <w:rFonts w:hint="default" w:ascii="Times New Roman" w:hAnsi="Times New Roman" w:eastAsia="仿宋_GB2312" w:cs="Times New Roman"/>
          <w:spacing w:val="46"/>
          <w:sz w:val="31"/>
          <w:szCs w:val="31"/>
        </w:rPr>
        <w:t xml:space="preserve"> </w:t>
      </w:r>
      <w:r>
        <w:rPr>
          <w:rFonts w:hint="eastAsia" w:ascii="Times New Roman" w:hAnsi="Times New Roman" w:eastAsia="仿宋_GB2312" w:cs="Times New Roman"/>
          <w:spacing w:val="46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-7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比上年增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加</w:t>
      </w:r>
      <w:r>
        <w:rPr>
          <w:rFonts w:hint="eastAsia" w:ascii="Times New Roman" w:hAnsi="Times New Roman" w:eastAsia="仿宋_GB2312" w:cs="Times New Roman"/>
          <w:spacing w:val="7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万元，增长</w:t>
      </w:r>
      <w:r>
        <w:rPr>
          <w:rFonts w:hint="eastAsia" w:ascii="Times New Roman" w:hAnsi="Times New Roman" w:eastAsia="仿宋_GB2312" w:cs="Times New Roman"/>
          <w:spacing w:val="7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 xml:space="preserve"> %，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主要是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eastAsia="zh-CN"/>
        </w:rPr>
        <w:t>没有增减变化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；对附属单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5"/>
          <w:sz w:val="31"/>
          <w:szCs w:val="31"/>
        </w:rPr>
        <w:t>位补助支出</w:t>
      </w:r>
      <w:r>
        <w:rPr>
          <w:rFonts w:hint="default" w:ascii="Times New Roman" w:hAnsi="Times New Roman" w:eastAsia="仿宋_GB2312" w:cs="Times New Roman"/>
          <w:spacing w:val="45"/>
          <w:sz w:val="31"/>
          <w:szCs w:val="31"/>
        </w:rPr>
        <w:t xml:space="preserve"> </w:t>
      </w:r>
      <w:r>
        <w:rPr>
          <w:rFonts w:hint="eastAsia" w:ascii="Times New Roman" w:hAnsi="Times New Roman" w:eastAsia="仿宋_GB2312" w:cs="Times New Roman"/>
          <w:spacing w:val="45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-15"/>
          <w:sz w:val="31"/>
          <w:szCs w:val="31"/>
        </w:rPr>
        <w:t>万元，比上年增加</w:t>
      </w:r>
      <w:r>
        <w:rPr>
          <w:rFonts w:hint="eastAsia" w:ascii="Times New Roman" w:hAnsi="Times New Roman" w:eastAsia="仿宋_GB2312" w:cs="Times New Roman"/>
          <w:spacing w:val="-15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-15"/>
          <w:sz w:val="31"/>
          <w:szCs w:val="31"/>
        </w:rPr>
        <w:t>万元，增长</w:t>
      </w:r>
      <w:r>
        <w:rPr>
          <w:rFonts w:hint="eastAsia" w:ascii="Times New Roman" w:hAnsi="Times New Roman" w:eastAsia="仿宋_GB2312" w:cs="Times New Roman"/>
          <w:spacing w:val="-15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-7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5"/>
          <w:sz w:val="31"/>
          <w:szCs w:val="31"/>
        </w:rPr>
        <w:t>%，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主要是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eastAsia="zh-CN"/>
        </w:rPr>
        <w:t>没有增减变化。</w:t>
      </w:r>
    </w:p>
    <w:p w14:paraId="78324C0B">
      <w:pPr>
        <w:spacing w:before="47" w:line="356" w:lineRule="auto"/>
        <w:ind w:left="33" w:right="86" w:firstLine="641"/>
        <w:rPr>
          <w:rFonts w:hint="default" w:ascii="Times New Roman" w:hAnsi="Times New Roman" w:eastAsia="仿宋_GB2312" w:cs="Times New Roman"/>
          <w:color w:val="FF0000"/>
          <w:spacing w:val="-1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FF0000"/>
          <w:spacing w:val="8"/>
          <w:sz w:val="31"/>
          <w:szCs w:val="31"/>
        </w:rPr>
        <w:t>注：决算收支增减变化情况要说明，可做饼形图进行分</w:t>
      </w:r>
      <w:r>
        <w:rPr>
          <w:rFonts w:hint="default" w:ascii="Times New Roman" w:hAnsi="Times New Roman" w:eastAsia="仿宋_GB2312" w:cs="Times New Roman"/>
          <w:color w:val="FF0000"/>
          <w:spacing w:val="1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color w:val="FF0000"/>
          <w:spacing w:val="-10"/>
          <w:sz w:val="31"/>
          <w:szCs w:val="31"/>
        </w:rPr>
        <w:t>析对比。</w:t>
      </w:r>
    </w:p>
    <w:p w14:paraId="27321EC7">
      <w:pPr>
        <w:spacing w:before="47" w:line="356" w:lineRule="auto"/>
        <w:ind w:right="86"/>
        <w:rPr>
          <w:rFonts w:hint="eastAsia" w:ascii="Times New Roman" w:hAnsi="Times New Roman" w:eastAsia="仿宋_GB2312" w:cs="Times New Roman"/>
          <w:color w:val="FF0000"/>
          <w:spacing w:val="-10"/>
          <w:sz w:val="31"/>
          <w:szCs w:val="31"/>
          <w:lang w:eastAsia="zh-CN"/>
        </w:rPr>
      </w:pPr>
      <w:r>
        <w:rPr>
          <w:rFonts w:hint="eastAsia" w:ascii="Times New Roman" w:hAnsi="Times New Roman" w:eastAsia="仿宋_GB2312" w:cs="Times New Roman"/>
          <w:color w:val="FF0000"/>
          <w:spacing w:val="-10"/>
          <w:sz w:val="31"/>
          <w:szCs w:val="31"/>
          <w:lang w:eastAsia="zh-CN"/>
        </w:rPr>
        <w:drawing>
          <wp:inline distT="0" distB="0" distL="114300" distR="114300">
            <wp:extent cx="5256530" cy="2988310"/>
            <wp:effectExtent l="5080" t="4445" r="15240" b="55245"/>
            <wp:docPr id="10" name="图表 10" descr="7b0a202020202263686172745265734964223a20223230343736343637220a7d0a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14:paraId="2A5A91C3">
      <w:pPr>
        <w:pStyle w:val="2"/>
        <w:spacing w:line="285" w:lineRule="auto"/>
        <w:rPr>
          <w:rFonts w:hint="default" w:ascii="Times New Roman" w:hAnsi="Times New Roman" w:eastAsia="仿宋_GB2312" w:cs="Times New Roman"/>
        </w:rPr>
      </w:pPr>
    </w:p>
    <w:p w14:paraId="0191EBC9">
      <w:pPr>
        <w:pStyle w:val="2"/>
        <w:spacing w:line="285" w:lineRule="auto"/>
        <w:rPr>
          <w:rFonts w:hint="default" w:ascii="Times New Roman" w:hAnsi="Times New Roman" w:eastAsia="仿宋_GB2312" w:cs="Times New Roman"/>
        </w:rPr>
      </w:pPr>
    </w:p>
    <w:p w14:paraId="13A060AC">
      <w:pPr>
        <w:spacing w:before="101" w:line="224" w:lineRule="auto"/>
        <w:ind w:left="68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四、财政拨款收入支出决算总体情况说明</w:t>
      </w:r>
    </w:p>
    <w:p w14:paraId="4B3BF637">
      <w:pPr>
        <w:spacing w:before="248" w:line="362" w:lineRule="auto"/>
        <w:ind w:left="23" w:right="86" w:firstLine="648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-3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年度财政拨款收、支总计均为</w:t>
      </w:r>
      <w:r>
        <w:rPr>
          <w:rFonts w:hint="eastAsia" w:ascii="Times New Roman" w:hAnsi="Times New Roman" w:eastAsia="仿宋_GB2312" w:cs="Times New Roman"/>
          <w:spacing w:val="6"/>
          <w:sz w:val="31"/>
          <w:szCs w:val="31"/>
          <w:lang w:val="en-US" w:eastAsia="zh-CN"/>
        </w:rPr>
        <w:t xml:space="preserve">1965.36 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万元，与</w:t>
      </w:r>
      <w:r>
        <w:rPr>
          <w:rFonts w:hint="default" w:ascii="Times New Roman" w:hAnsi="Times New Roman" w:eastAsia="仿宋_GB2312" w:cs="Times New Roman"/>
          <w:spacing w:val="-3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2022</w:t>
      </w:r>
      <w:r>
        <w:rPr>
          <w:rFonts w:hint="default" w:ascii="Times New Roman" w:hAnsi="Times New Roman" w:eastAsia="仿宋_GB2312" w:cs="Times New Roman"/>
          <w:spacing w:val="-3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年</w:t>
      </w:r>
      <w:r>
        <w:rPr>
          <w:rFonts w:hint="default" w:ascii="Times New Roman" w:hAnsi="Times New Roman" w:eastAsia="仿宋_GB2312" w:cs="Times New Roman"/>
          <w:spacing w:val="-9"/>
          <w:sz w:val="31"/>
          <w:szCs w:val="31"/>
        </w:rPr>
        <w:t>相比，财政拨款收、支总计各增加</w:t>
      </w:r>
      <w:r>
        <w:rPr>
          <w:rFonts w:hint="eastAsia" w:ascii="Times New Roman" w:hAnsi="Times New Roman" w:eastAsia="仿宋_GB2312" w:cs="Times New Roman"/>
          <w:spacing w:val="-9"/>
          <w:sz w:val="31"/>
          <w:szCs w:val="31"/>
          <w:lang w:val="en-US" w:eastAsia="zh-CN"/>
        </w:rPr>
        <w:t>2.01</w:t>
      </w:r>
      <w:r>
        <w:rPr>
          <w:rFonts w:hint="default" w:ascii="Times New Roman" w:hAnsi="Times New Roman" w:eastAsia="仿宋_GB2312" w:cs="Times New Roman"/>
          <w:spacing w:val="-9"/>
          <w:sz w:val="31"/>
          <w:szCs w:val="31"/>
        </w:rPr>
        <w:t xml:space="preserve">  万元，增长</w:t>
      </w:r>
      <w:r>
        <w:rPr>
          <w:rFonts w:hint="eastAsia" w:ascii="Times New Roman" w:hAnsi="Times New Roman" w:eastAsia="仿宋_GB2312" w:cs="Times New Roman"/>
          <w:spacing w:val="-9"/>
          <w:sz w:val="31"/>
          <w:szCs w:val="31"/>
          <w:lang w:val="en-US" w:eastAsia="zh-CN"/>
        </w:rPr>
        <w:t>0.1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%。主要原因</w:t>
      </w:r>
      <w:r>
        <w:rPr>
          <w:rFonts w:hint="eastAsia" w:ascii="Times New Roman" w:hAnsi="Times New Roman" w:eastAsia="仿宋_GB2312" w:cs="Times New Roman"/>
          <w:spacing w:val="6"/>
          <w:sz w:val="31"/>
          <w:szCs w:val="31"/>
          <w:lang w:val="en-US" w:eastAsia="zh-CN"/>
        </w:rPr>
        <w:t>清算退休中人职业年金。</w:t>
      </w:r>
    </w:p>
    <w:p w14:paraId="2AEBD14B">
      <w:pPr>
        <w:spacing w:before="50" w:line="356" w:lineRule="auto"/>
        <w:ind w:left="33" w:right="86" w:firstLine="641"/>
        <w:rPr>
          <w:rFonts w:hint="default" w:ascii="Times New Roman" w:hAnsi="Times New Roman" w:eastAsia="仿宋_GB2312" w:cs="Times New Roman"/>
          <w:color w:val="FF0000"/>
          <w:spacing w:val="-1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FF0000"/>
          <w:spacing w:val="8"/>
          <w:sz w:val="31"/>
          <w:szCs w:val="31"/>
        </w:rPr>
        <w:t>注：决算收支增减变化情况要说明，可做柱形图进行分</w:t>
      </w:r>
      <w:r>
        <w:rPr>
          <w:rFonts w:hint="default" w:ascii="Times New Roman" w:hAnsi="Times New Roman" w:eastAsia="仿宋_GB2312" w:cs="Times New Roman"/>
          <w:color w:val="FF0000"/>
          <w:spacing w:val="1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color w:val="FF0000"/>
          <w:spacing w:val="-10"/>
          <w:sz w:val="31"/>
          <w:szCs w:val="31"/>
        </w:rPr>
        <w:t>析对比。</w:t>
      </w:r>
    </w:p>
    <w:p w14:paraId="57B8067D">
      <w:pPr>
        <w:spacing w:before="50" w:line="356" w:lineRule="auto"/>
        <w:ind w:right="86"/>
        <w:rPr>
          <w:rFonts w:hint="eastAsia" w:ascii="Times New Roman" w:hAnsi="Times New Roman" w:eastAsia="仿宋_GB2312" w:cs="Times New Roman"/>
          <w:color w:val="FF0000"/>
          <w:spacing w:val="-10"/>
          <w:sz w:val="31"/>
          <w:szCs w:val="31"/>
          <w:lang w:eastAsia="zh-CN"/>
        </w:rPr>
      </w:pPr>
      <w:r>
        <w:rPr>
          <w:rFonts w:hint="eastAsia" w:ascii="Times New Roman" w:hAnsi="Times New Roman" w:eastAsia="仿宋_GB2312" w:cs="Times New Roman"/>
          <w:color w:val="FF0000"/>
          <w:spacing w:val="-10"/>
          <w:sz w:val="31"/>
          <w:szCs w:val="31"/>
          <w:lang w:eastAsia="zh-CN"/>
        </w:rPr>
        <w:drawing>
          <wp:inline distT="0" distB="0" distL="114300" distR="114300">
            <wp:extent cx="5256530" cy="2988310"/>
            <wp:effectExtent l="5080" t="4445" r="15240" b="17145"/>
            <wp:docPr id="11" name="图表 11" descr="7b0a202020202263686172745265734964223a202234353638333034220a7d0a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14:paraId="186B7246">
      <w:pPr>
        <w:pStyle w:val="2"/>
        <w:spacing w:line="285" w:lineRule="auto"/>
        <w:rPr>
          <w:rFonts w:hint="default" w:ascii="Times New Roman" w:hAnsi="Times New Roman" w:eastAsia="仿宋_GB2312" w:cs="Times New Roman"/>
        </w:rPr>
      </w:pPr>
    </w:p>
    <w:p w14:paraId="061B836E">
      <w:pPr>
        <w:pStyle w:val="2"/>
        <w:spacing w:line="286" w:lineRule="auto"/>
        <w:rPr>
          <w:rFonts w:hint="default" w:ascii="Times New Roman" w:hAnsi="Times New Roman" w:eastAsia="仿宋_GB2312" w:cs="Times New Roman"/>
        </w:rPr>
      </w:pPr>
    </w:p>
    <w:p w14:paraId="1F370688">
      <w:pPr>
        <w:spacing w:before="101" w:line="224" w:lineRule="auto"/>
        <w:ind w:left="67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五、一般公共预算财政拨款支出决算情况说明</w:t>
      </w:r>
    </w:p>
    <w:p w14:paraId="23C04410">
      <w:pPr>
        <w:spacing w:before="248" w:line="223" w:lineRule="auto"/>
        <w:ind w:left="662"/>
        <w:outlineLvl w:val="2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-1"/>
          <w:sz w:val="31"/>
          <w:szCs w:val="31"/>
        </w:rPr>
        <w:t>（</w:t>
      </w:r>
      <w:r>
        <w:rPr>
          <w:rFonts w:hint="default" w:ascii="Times New Roman" w:hAnsi="Times New Roman" w:eastAsia="仿宋_GB2312" w:cs="Times New Roman"/>
          <w:spacing w:val="-6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-1"/>
          <w:sz w:val="31"/>
          <w:szCs w:val="31"/>
        </w:rPr>
        <w:t>一</w:t>
      </w:r>
      <w:r>
        <w:rPr>
          <w:rFonts w:hint="default" w:ascii="Times New Roman" w:hAnsi="Times New Roman" w:eastAsia="仿宋_GB2312" w:cs="Times New Roman"/>
          <w:spacing w:val="-6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-1"/>
          <w:sz w:val="31"/>
          <w:szCs w:val="31"/>
        </w:rPr>
        <w:t>）一般公共预算财政拨款支出决算总体情况</w:t>
      </w:r>
    </w:p>
    <w:p w14:paraId="3DBECA28">
      <w:pPr>
        <w:spacing w:line="240" w:lineRule="auto"/>
        <w:ind w:left="0" w:firstLine="318" w:firstLineChars="10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-5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年度一般公共预算财政拨款支出1,965.36 万元，占本年支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 xml:space="preserve">出合计的  </w:t>
      </w:r>
      <w:r>
        <w:rPr>
          <w:rFonts w:hint="eastAsia" w:ascii="Times New Roman" w:hAnsi="Times New Roman" w:eastAsia="仿宋_GB2312" w:cs="Times New Roman"/>
          <w:spacing w:val="3"/>
          <w:sz w:val="31"/>
          <w:szCs w:val="31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%。与 2022</w:t>
      </w:r>
      <w:r>
        <w:rPr>
          <w:rFonts w:hint="default" w:ascii="Times New Roman" w:hAnsi="Times New Roman" w:eastAsia="仿宋_GB2312" w:cs="Times New Roman"/>
          <w:spacing w:val="-5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年度相比，一般公共预算财政拨款支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出增加</w:t>
      </w:r>
      <w:r>
        <w:rPr>
          <w:rFonts w:hint="eastAsia" w:ascii="Times New Roman" w:hAnsi="Times New Roman" w:eastAsia="仿宋_GB2312" w:cs="Times New Roman"/>
          <w:spacing w:val="-1"/>
          <w:sz w:val="31"/>
          <w:szCs w:val="31"/>
          <w:lang w:val="en-US" w:eastAsia="zh-CN"/>
        </w:rPr>
        <w:t>2.01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万元，增长</w:t>
      </w:r>
      <w:r>
        <w:rPr>
          <w:rFonts w:hint="eastAsia" w:ascii="Times New Roman" w:hAnsi="Times New Roman" w:eastAsia="仿宋_GB2312" w:cs="Times New Roman"/>
          <w:spacing w:val="-1"/>
          <w:sz w:val="31"/>
          <w:szCs w:val="31"/>
          <w:lang w:val="en-US" w:eastAsia="zh-CN"/>
        </w:rPr>
        <w:t>0.1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 xml:space="preserve">  %。主要原因：</w:t>
      </w:r>
      <w:r>
        <w:rPr>
          <w:rFonts w:hint="default" w:ascii="Times New Roman" w:hAnsi="Times New Roman" w:eastAsia="仿宋_GB2312" w:cs="Times New Roman"/>
          <w:spacing w:val="-53"/>
          <w:sz w:val="31"/>
          <w:szCs w:val="31"/>
        </w:rPr>
        <w:t xml:space="preserve"> </w:t>
      </w:r>
      <w:r>
        <w:rPr>
          <w:rFonts w:hint="eastAsia" w:ascii="Times New Roman" w:hAnsi="Times New Roman" w:eastAsia="仿宋_GB2312" w:cs="Times New Roman"/>
          <w:spacing w:val="6"/>
          <w:sz w:val="31"/>
          <w:szCs w:val="31"/>
          <w:lang w:val="en-US" w:eastAsia="zh-CN"/>
        </w:rPr>
        <w:t>清算退休中人职业年金。</w:t>
      </w:r>
    </w:p>
    <w:p w14:paraId="3CCFFAD9">
      <w:pPr>
        <w:spacing w:before="49" w:line="356" w:lineRule="auto"/>
        <w:ind w:left="33" w:right="92" w:firstLine="641"/>
        <w:rPr>
          <w:rFonts w:hint="eastAsia" w:ascii="Times New Roman" w:hAnsi="Times New Roman" w:eastAsia="仿宋_GB2312" w:cs="Times New Roman"/>
          <w:color w:val="FF0000"/>
          <w:spacing w:val="2"/>
          <w:sz w:val="31"/>
          <w:szCs w:val="31"/>
          <w:lang w:eastAsia="zh-CN"/>
        </w:rPr>
      </w:pPr>
      <w:r>
        <w:rPr>
          <w:rFonts w:hint="default" w:ascii="Times New Roman" w:hAnsi="Times New Roman" w:eastAsia="仿宋_GB2312" w:cs="Times New Roman"/>
          <w:color w:val="FF0000"/>
          <w:spacing w:val="8"/>
          <w:sz w:val="31"/>
          <w:szCs w:val="31"/>
        </w:rPr>
        <w:t>注：决算收支增减变化情况要说明，可做柱形图进行分</w:t>
      </w:r>
      <w:r>
        <w:rPr>
          <w:rFonts w:hint="default" w:ascii="Times New Roman" w:hAnsi="Times New Roman" w:eastAsia="仿宋_GB2312" w:cs="Times New Roman"/>
          <w:color w:val="FF0000"/>
          <w:spacing w:val="1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color w:val="FF0000"/>
          <w:spacing w:val="2"/>
          <w:sz w:val="31"/>
          <w:szCs w:val="31"/>
        </w:rPr>
        <w:t>析对比</w:t>
      </w:r>
      <w:r>
        <w:rPr>
          <w:rFonts w:hint="eastAsia" w:ascii="Times New Roman" w:hAnsi="Times New Roman" w:eastAsia="仿宋_GB2312" w:cs="Times New Roman"/>
          <w:color w:val="FF0000"/>
          <w:spacing w:val="2"/>
          <w:sz w:val="31"/>
          <w:szCs w:val="31"/>
          <w:lang w:eastAsia="zh-CN"/>
        </w:rPr>
        <w:t>。</w:t>
      </w:r>
    </w:p>
    <w:p w14:paraId="7EF356D1">
      <w:pPr>
        <w:spacing w:before="49" w:line="356" w:lineRule="auto"/>
        <w:ind w:right="92"/>
        <w:rPr>
          <w:rFonts w:hint="eastAsia" w:ascii="Times New Roman" w:hAnsi="Times New Roman" w:eastAsia="仿宋_GB2312" w:cs="Times New Roman"/>
          <w:color w:val="FF0000"/>
          <w:spacing w:val="2"/>
          <w:sz w:val="31"/>
          <w:szCs w:val="31"/>
          <w:lang w:eastAsia="zh-CN"/>
        </w:rPr>
      </w:pPr>
      <w:r>
        <w:rPr>
          <w:rFonts w:hint="eastAsia" w:ascii="Times New Roman" w:hAnsi="Times New Roman" w:eastAsia="仿宋_GB2312" w:cs="Times New Roman"/>
          <w:color w:val="FF0000"/>
          <w:spacing w:val="2"/>
          <w:sz w:val="31"/>
          <w:szCs w:val="31"/>
          <w:lang w:eastAsia="zh-CN"/>
        </w:rPr>
        <w:drawing>
          <wp:inline distT="0" distB="0" distL="114300" distR="114300">
            <wp:extent cx="5256530" cy="2988310"/>
            <wp:effectExtent l="5080" t="4445" r="15240" b="17145"/>
            <wp:docPr id="12" name="图表 12" descr="7b0a202020202263686172745265734964223a202234353638333034220a7d0a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</w:p>
    <w:p w14:paraId="5244FAD3">
      <w:pPr>
        <w:spacing w:before="51" w:line="223" w:lineRule="auto"/>
        <w:ind w:left="659"/>
        <w:outlineLvl w:val="2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4"/>
          <w:sz w:val="31"/>
          <w:szCs w:val="31"/>
        </w:rPr>
        <w:t>（二）</w:t>
      </w:r>
      <w:r>
        <w:rPr>
          <w:rFonts w:hint="default" w:ascii="Times New Roman" w:hAnsi="Times New Roman" w:eastAsia="仿宋_GB2312" w:cs="Times New Roman"/>
          <w:spacing w:val="-8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4"/>
          <w:sz w:val="31"/>
          <w:szCs w:val="31"/>
        </w:rPr>
        <w:t>一般公共预算财政拨款支出决算结构情况</w:t>
      </w:r>
    </w:p>
    <w:p w14:paraId="3B06312C">
      <w:pPr>
        <w:spacing w:before="251" w:line="364" w:lineRule="auto"/>
        <w:ind w:left="68" w:right="7" w:firstLine="603"/>
        <w:jc w:val="both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-5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 xml:space="preserve">年度一般公共预算财政拨款支出 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1,965.36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万元，主要用于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6"/>
          <w:sz w:val="31"/>
          <w:szCs w:val="31"/>
        </w:rPr>
        <w:t>以下方面：教育支出</w:t>
      </w:r>
      <w:r>
        <w:rPr>
          <w:rFonts w:hint="eastAsia" w:ascii="Times New Roman" w:hAnsi="Times New Roman" w:eastAsia="仿宋_GB2312" w:cs="Times New Roman"/>
          <w:spacing w:val="-6"/>
          <w:sz w:val="31"/>
          <w:szCs w:val="31"/>
          <w:lang w:val="en-US" w:eastAsia="zh-CN"/>
        </w:rPr>
        <w:t>1375.02</w:t>
      </w:r>
      <w:r>
        <w:rPr>
          <w:rFonts w:hint="default" w:ascii="Times New Roman" w:hAnsi="Times New Roman" w:eastAsia="仿宋_GB2312" w:cs="Times New Roman"/>
          <w:spacing w:val="-6"/>
          <w:sz w:val="31"/>
          <w:szCs w:val="31"/>
        </w:rPr>
        <w:t>，占</w:t>
      </w:r>
      <w:r>
        <w:rPr>
          <w:rFonts w:hint="eastAsia" w:ascii="Times New Roman" w:hAnsi="Times New Roman" w:eastAsia="仿宋_GB2312" w:cs="Times New Roman"/>
          <w:spacing w:val="-6"/>
          <w:sz w:val="31"/>
          <w:szCs w:val="31"/>
          <w:lang w:val="en-US" w:eastAsia="zh-CN"/>
        </w:rPr>
        <w:t>70</w:t>
      </w:r>
      <w:r>
        <w:rPr>
          <w:rFonts w:hint="default" w:ascii="Times New Roman" w:hAnsi="Times New Roman" w:eastAsia="仿宋_GB2312" w:cs="Times New Roman"/>
          <w:spacing w:val="-6"/>
          <w:sz w:val="31"/>
          <w:szCs w:val="31"/>
        </w:rPr>
        <w:t xml:space="preserve"> %；社会保障和就业支出</w:t>
      </w:r>
      <w:r>
        <w:rPr>
          <w:rFonts w:hint="eastAsia" w:ascii="Times New Roman" w:hAnsi="Times New Roman" w:eastAsia="仿宋_GB2312" w:cs="Times New Roman"/>
          <w:spacing w:val="-6"/>
          <w:sz w:val="31"/>
          <w:szCs w:val="31"/>
          <w:lang w:val="en-US" w:eastAsia="zh-CN"/>
        </w:rPr>
        <w:t>390.05</w:t>
      </w:r>
      <w:r>
        <w:rPr>
          <w:rFonts w:hint="default" w:ascii="Times New Roman" w:hAnsi="Times New Roman" w:eastAsia="仿宋_GB2312" w:cs="Times New Roman"/>
          <w:spacing w:val="-6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占</w:t>
      </w:r>
      <w:r>
        <w:rPr>
          <w:rFonts w:hint="eastAsia" w:ascii="Times New Roman" w:hAnsi="Times New Roman" w:eastAsia="仿宋_GB2312" w:cs="Times New Roman"/>
          <w:spacing w:val="3"/>
          <w:sz w:val="31"/>
          <w:szCs w:val="31"/>
          <w:lang w:val="en-US" w:eastAsia="zh-CN"/>
        </w:rPr>
        <w:t>19.8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%；</w:t>
      </w:r>
      <w:r>
        <w:rPr>
          <w:rFonts w:hint="default" w:ascii="Times New Roman" w:hAnsi="Times New Roman" w:eastAsia="仿宋_GB2312" w:cs="Times New Roman"/>
          <w:sz w:val="31"/>
          <w:szCs w:val="31"/>
        </w:rPr>
        <w:t>卫生健康支出</w:t>
      </w:r>
      <w:r>
        <w:rPr>
          <w:rFonts w:hint="eastAsia" w:ascii="Times New Roman" w:hAnsi="Times New Roman" w:eastAsia="仿宋_GB2312" w:cs="Times New Roman"/>
          <w:sz w:val="31"/>
          <w:szCs w:val="31"/>
          <w:lang w:val="en-US" w:eastAsia="zh-CN"/>
        </w:rPr>
        <w:t xml:space="preserve">77.06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 xml:space="preserve">万元，占 </w:t>
      </w:r>
      <w:r>
        <w:rPr>
          <w:rFonts w:hint="eastAsia" w:ascii="Times New Roman" w:hAnsi="Times New Roman" w:eastAsia="仿宋_GB2312" w:cs="Times New Roman"/>
          <w:spacing w:val="3"/>
          <w:sz w:val="31"/>
          <w:szCs w:val="31"/>
          <w:lang w:val="en-US" w:eastAsia="zh-CN"/>
        </w:rPr>
        <w:t>3.9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%；</w:t>
      </w:r>
      <w:r>
        <w:rPr>
          <w:rFonts w:hint="default" w:ascii="Times New Roman" w:hAnsi="Times New Roman" w:eastAsia="仿宋_GB2312" w:cs="Times New Roman"/>
          <w:sz w:val="31"/>
          <w:szCs w:val="31"/>
        </w:rPr>
        <w:t>住房保障支出</w:t>
      </w:r>
      <w:r>
        <w:rPr>
          <w:rFonts w:hint="eastAsia" w:ascii="Times New Roman" w:hAnsi="Times New Roman" w:eastAsia="仿宋_GB2312" w:cs="Times New Roman"/>
          <w:sz w:val="31"/>
          <w:szCs w:val="31"/>
          <w:lang w:val="en-US" w:eastAsia="zh-CN"/>
        </w:rPr>
        <w:t>123.24</w:t>
      </w:r>
      <w:r>
        <w:rPr>
          <w:rFonts w:hint="default" w:ascii="Times New Roman" w:hAnsi="Times New Roman" w:eastAsia="仿宋_GB2312" w:cs="Times New Roman"/>
          <w:spacing w:val="20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万元，占</w:t>
      </w:r>
      <w:r>
        <w:rPr>
          <w:rFonts w:hint="eastAsia" w:ascii="Times New Roman" w:hAnsi="Times New Roman" w:eastAsia="仿宋_GB2312" w:cs="Times New Roman"/>
          <w:spacing w:val="3"/>
          <w:sz w:val="31"/>
          <w:szCs w:val="31"/>
          <w:lang w:val="en-US" w:eastAsia="zh-CN"/>
        </w:rPr>
        <w:t>6.3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%；</w:t>
      </w:r>
    </w:p>
    <w:p w14:paraId="3053E48F">
      <w:pPr>
        <w:spacing w:before="49" w:line="356" w:lineRule="auto"/>
        <w:ind w:left="29" w:right="91" w:firstLine="645"/>
        <w:rPr>
          <w:rFonts w:hint="default" w:ascii="Times New Roman" w:hAnsi="Times New Roman" w:eastAsia="仿宋_GB2312" w:cs="Times New Roman"/>
          <w:color w:val="FF0000"/>
          <w:spacing w:val="4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FF0000"/>
          <w:spacing w:val="8"/>
          <w:sz w:val="31"/>
          <w:szCs w:val="31"/>
        </w:rPr>
        <w:t>注：请按支出功能分类科目的类级科目逐一说明；可做</w:t>
      </w:r>
      <w:r>
        <w:rPr>
          <w:rFonts w:hint="default" w:ascii="Times New Roman" w:hAnsi="Times New Roman" w:eastAsia="仿宋_GB2312" w:cs="Times New Roman"/>
          <w:color w:val="FF0000"/>
          <w:spacing w:val="1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color w:val="FF0000"/>
          <w:spacing w:val="4"/>
          <w:sz w:val="31"/>
          <w:szCs w:val="31"/>
        </w:rPr>
        <w:t>柱形图或饼形图进行分析对比。</w:t>
      </w:r>
    </w:p>
    <w:p w14:paraId="4437ED2C">
      <w:pPr>
        <w:spacing w:before="49" w:line="356" w:lineRule="auto"/>
        <w:ind w:right="91"/>
        <w:rPr>
          <w:rFonts w:hint="eastAsia" w:ascii="Times New Roman" w:hAnsi="Times New Roman" w:eastAsia="仿宋_GB2312" w:cs="Times New Roman"/>
          <w:color w:val="FF0000"/>
          <w:spacing w:val="4"/>
          <w:sz w:val="31"/>
          <w:szCs w:val="31"/>
          <w:lang w:eastAsia="zh-CN"/>
        </w:rPr>
      </w:pPr>
      <w:r>
        <w:rPr>
          <w:rFonts w:hint="eastAsia" w:ascii="Times New Roman" w:hAnsi="Times New Roman" w:eastAsia="仿宋_GB2312" w:cs="Times New Roman"/>
          <w:color w:val="FF0000"/>
          <w:spacing w:val="4"/>
          <w:sz w:val="31"/>
          <w:szCs w:val="31"/>
          <w:lang w:eastAsia="zh-CN"/>
        </w:rPr>
        <w:drawing>
          <wp:inline distT="0" distB="0" distL="114300" distR="114300">
            <wp:extent cx="5256530" cy="2988310"/>
            <wp:effectExtent l="5080" t="4445" r="15240" b="55245"/>
            <wp:docPr id="13" name="图表 13" descr="7b0a202020202263686172745265734964223a20223230343736343637220a7d0a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 w14:paraId="60312B63">
      <w:pPr>
        <w:spacing w:before="52" w:line="223" w:lineRule="auto"/>
        <w:ind w:left="659"/>
        <w:outlineLvl w:val="2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4"/>
          <w:sz w:val="31"/>
          <w:szCs w:val="31"/>
        </w:rPr>
        <w:t>（三）</w:t>
      </w:r>
      <w:r>
        <w:rPr>
          <w:rFonts w:hint="default" w:ascii="Times New Roman" w:hAnsi="Times New Roman" w:eastAsia="仿宋_GB2312" w:cs="Times New Roman"/>
          <w:spacing w:val="-8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4"/>
          <w:sz w:val="31"/>
          <w:szCs w:val="31"/>
        </w:rPr>
        <w:t>一般公共预算财政拨款支出决算具体情况</w:t>
      </w:r>
    </w:p>
    <w:p w14:paraId="1DF2180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" w:hAnsi="仿宋" w:eastAsia="仿宋"/>
          <w:sz w:val="32"/>
          <w:szCs w:val="30"/>
        </w:rPr>
      </w:pPr>
      <w:r>
        <w:rPr>
          <w:rFonts w:hint="eastAsia" w:ascii="仿宋" w:hAnsi="仿宋" w:eastAsia="仿宋"/>
          <w:sz w:val="32"/>
          <w:szCs w:val="30"/>
        </w:rPr>
        <w:t>202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0"/>
        </w:rPr>
        <w:t>年度一般</w:t>
      </w:r>
      <w:r>
        <w:rPr>
          <w:rFonts w:ascii="仿宋" w:hAnsi="仿宋" w:eastAsia="仿宋"/>
          <w:sz w:val="32"/>
          <w:szCs w:val="30"/>
        </w:rPr>
        <w:t>公共预算</w:t>
      </w:r>
      <w:r>
        <w:rPr>
          <w:rFonts w:hint="eastAsia" w:ascii="仿宋" w:hAnsi="仿宋" w:eastAsia="仿宋"/>
          <w:sz w:val="32"/>
          <w:szCs w:val="30"/>
        </w:rPr>
        <w:t>财政拨款支出年初预算为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1,965.36</w:t>
      </w:r>
      <w:r>
        <w:rPr>
          <w:rFonts w:hint="eastAsia" w:ascii="仿宋" w:hAnsi="仿宋" w:eastAsia="仿宋"/>
          <w:sz w:val="32"/>
          <w:szCs w:val="30"/>
        </w:rPr>
        <w:t>万元，支出决算为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1,965.36</w:t>
      </w:r>
      <w:r>
        <w:rPr>
          <w:rFonts w:hint="eastAsia" w:ascii="仿宋" w:hAnsi="仿宋" w:eastAsia="仿宋"/>
          <w:sz w:val="32"/>
          <w:szCs w:val="30"/>
        </w:rPr>
        <w:t>万元，完成年初预算的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100</w:t>
      </w:r>
      <w:r>
        <w:rPr>
          <w:rFonts w:hint="eastAsia" w:ascii="仿宋" w:hAnsi="仿宋" w:eastAsia="仿宋"/>
          <w:sz w:val="32"/>
          <w:szCs w:val="30"/>
        </w:rPr>
        <w:t>%。其中：</w:t>
      </w:r>
    </w:p>
    <w:p w14:paraId="4C1D7F1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lang w:val="en-US" w:eastAsia="zh-CN"/>
        </w:rPr>
        <w:t>1</w:t>
      </w:r>
      <w:r>
        <w:rPr>
          <w:rFonts w:hint="eastAsia" w:ascii="仿宋" w:hAnsi="仿宋" w:eastAsia="仿宋"/>
          <w:sz w:val="32"/>
        </w:rPr>
        <w:t>.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教育</w:t>
      </w:r>
      <w:r>
        <w:rPr>
          <w:rFonts w:hint="eastAsia" w:ascii="仿宋" w:hAnsi="仿宋" w:eastAsia="仿宋"/>
          <w:sz w:val="32"/>
          <w:szCs w:val="30"/>
        </w:rPr>
        <w:t>支出年初预算为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1375.02</w:t>
      </w:r>
      <w:r>
        <w:rPr>
          <w:rFonts w:hint="eastAsia" w:ascii="仿宋" w:hAnsi="仿宋" w:eastAsia="仿宋"/>
          <w:sz w:val="32"/>
          <w:szCs w:val="30"/>
        </w:rPr>
        <w:t>万元，支出决算为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1375.02</w:t>
      </w:r>
      <w:r>
        <w:rPr>
          <w:rFonts w:hint="eastAsia" w:ascii="仿宋" w:hAnsi="仿宋" w:eastAsia="仿宋"/>
          <w:sz w:val="32"/>
          <w:szCs w:val="30"/>
        </w:rPr>
        <w:t>万元，完成年初预算的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100</w:t>
      </w:r>
      <w:r>
        <w:rPr>
          <w:rFonts w:hint="eastAsia" w:ascii="仿宋" w:hAnsi="仿宋" w:eastAsia="仿宋"/>
          <w:sz w:val="32"/>
          <w:szCs w:val="30"/>
        </w:rPr>
        <w:t xml:space="preserve"> %。</w:t>
      </w:r>
      <w:r>
        <w:rPr>
          <w:rFonts w:hint="eastAsia" w:ascii="仿宋" w:hAnsi="仿宋" w:eastAsia="仿宋"/>
          <w:sz w:val="32"/>
          <w:szCs w:val="30"/>
          <w:lang w:eastAsia="zh-CN"/>
        </w:rPr>
        <w:t>完成本年</w:t>
      </w:r>
      <w:r>
        <w:rPr>
          <w:rFonts w:hint="eastAsia" w:ascii="仿宋" w:hAnsi="仿宋" w:eastAsia="仿宋"/>
          <w:sz w:val="32"/>
          <w:szCs w:val="30"/>
        </w:rPr>
        <w:t>预算。</w:t>
      </w:r>
    </w:p>
    <w:p w14:paraId="4626792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lang w:val="en-US" w:eastAsia="zh-CN"/>
        </w:rPr>
        <w:t>2.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社会保障和就业支出</w:t>
      </w:r>
      <w:r>
        <w:rPr>
          <w:rFonts w:hint="eastAsia" w:ascii="仿宋" w:hAnsi="仿宋" w:eastAsia="仿宋"/>
          <w:sz w:val="32"/>
          <w:szCs w:val="30"/>
        </w:rPr>
        <w:t>预算</w:t>
      </w:r>
      <w:r>
        <w:rPr>
          <w:rFonts w:hint="eastAsia" w:ascii="仿宋" w:hAnsi="仿宋" w:eastAsia="仿宋"/>
          <w:sz w:val="32"/>
          <w:szCs w:val="30"/>
          <w:lang w:eastAsia="zh-CN"/>
        </w:rPr>
        <w:t>为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390.05万元</w:t>
      </w:r>
      <w:r>
        <w:rPr>
          <w:rFonts w:hint="eastAsia" w:ascii="仿宋" w:hAnsi="仿宋" w:eastAsia="仿宋"/>
          <w:sz w:val="32"/>
          <w:szCs w:val="30"/>
        </w:rPr>
        <w:t>，支出决算为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390.05</w:t>
      </w:r>
      <w:r>
        <w:rPr>
          <w:rFonts w:hint="eastAsia" w:ascii="仿宋" w:hAnsi="仿宋" w:eastAsia="仿宋"/>
          <w:sz w:val="32"/>
          <w:szCs w:val="30"/>
        </w:rPr>
        <w:t>万元，</w:t>
      </w:r>
      <w:r>
        <w:rPr>
          <w:rFonts w:hint="eastAsia" w:ascii="仿宋" w:hAnsi="仿宋" w:eastAsia="仿宋"/>
          <w:sz w:val="32"/>
          <w:szCs w:val="30"/>
          <w:lang w:eastAsia="zh-CN"/>
        </w:rPr>
        <w:t>完成本年</w:t>
      </w:r>
      <w:r>
        <w:rPr>
          <w:rFonts w:hint="eastAsia" w:ascii="仿宋" w:hAnsi="仿宋" w:eastAsia="仿宋"/>
          <w:sz w:val="32"/>
          <w:szCs w:val="30"/>
        </w:rPr>
        <w:t>预算。</w:t>
      </w:r>
    </w:p>
    <w:p w14:paraId="7F7664E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" w:hAnsi="仿宋" w:eastAsia="仿宋"/>
          <w:sz w:val="32"/>
          <w:szCs w:val="30"/>
        </w:rPr>
      </w:pPr>
      <w:r>
        <w:rPr>
          <w:rFonts w:hint="eastAsia" w:ascii="仿宋" w:hAnsi="仿宋" w:eastAsia="仿宋"/>
          <w:sz w:val="32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0"/>
        </w:rPr>
        <w:t>.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卫生健康支出</w:t>
      </w:r>
      <w:r>
        <w:rPr>
          <w:rFonts w:hint="eastAsia" w:ascii="仿宋" w:hAnsi="仿宋" w:eastAsia="仿宋"/>
          <w:sz w:val="32"/>
          <w:szCs w:val="30"/>
        </w:rPr>
        <w:t>预算</w:t>
      </w:r>
      <w:r>
        <w:rPr>
          <w:rFonts w:hint="eastAsia" w:ascii="仿宋" w:hAnsi="仿宋" w:eastAsia="仿宋"/>
          <w:sz w:val="32"/>
          <w:szCs w:val="30"/>
          <w:lang w:eastAsia="zh-CN"/>
        </w:rPr>
        <w:t>为</w:t>
      </w:r>
      <w:r>
        <w:rPr>
          <w:rFonts w:hint="eastAsia" w:ascii="Times New Roman" w:hAnsi="Times New Roman" w:eastAsia="仿宋_GB2312" w:cs="Times New Roman"/>
          <w:sz w:val="31"/>
          <w:szCs w:val="31"/>
          <w:lang w:val="en-US" w:eastAsia="zh-CN"/>
        </w:rPr>
        <w:t>77.06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 xml:space="preserve"> 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万元</w:t>
      </w:r>
      <w:r>
        <w:rPr>
          <w:rFonts w:hint="eastAsia" w:ascii="仿宋" w:hAnsi="仿宋" w:eastAsia="仿宋"/>
          <w:sz w:val="32"/>
          <w:szCs w:val="30"/>
        </w:rPr>
        <w:t>，支出决算为</w:t>
      </w:r>
      <w:r>
        <w:rPr>
          <w:rFonts w:hint="eastAsia" w:ascii="Times New Roman" w:hAnsi="Times New Roman" w:eastAsia="仿宋_GB2312" w:cs="Times New Roman"/>
          <w:sz w:val="31"/>
          <w:szCs w:val="31"/>
          <w:lang w:val="en-US" w:eastAsia="zh-CN"/>
        </w:rPr>
        <w:t>77.06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 xml:space="preserve"> </w:t>
      </w:r>
      <w:r>
        <w:rPr>
          <w:rFonts w:hint="eastAsia" w:ascii="仿宋" w:hAnsi="仿宋" w:eastAsia="仿宋"/>
          <w:sz w:val="32"/>
          <w:szCs w:val="30"/>
        </w:rPr>
        <w:t>万元，</w:t>
      </w:r>
      <w:r>
        <w:rPr>
          <w:rFonts w:hint="eastAsia" w:ascii="仿宋" w:hAnsi="仿宋" w:eastAsia="仿宋"/>
          <w:sz w:val="32"/>
          <w:szCs w:val="30"/>
          <w:lang w:eastAsia="zh-CN"/>
        </w:rPr>
        <w:t>完成本年</w:t>
      </w:r>
      <w:r>
        <w:rPr>
          <w:rFonts w:hint="eastAsia" w:ascii="仿宋" w:hAnsi="仿宋" w:eastAsia="仿宋"/>
          <w:sz w:val="32"/>
          <w:szCs w:val="30"/>
        </w:rPr>
        <w:t>预算。</w:t>
      </w:r>
    </w:p>
    <w:p w14:paraId="1FC5C15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" w:hAnsi="仿宋" w:eastAsia="仿宋"/>
          <w:sz w:val="32"/>
          <w:szCs w:val="30"/>
        </w:rPr>
      </w:pPr>
      <w:r>
        <w:rPr>
          <w:rFonts w:hint="eastAsia" w:ascii="仿宋" w:hAnsi="仿宋" w:eastAsia="仿宋"/>
          <w:sz w:val="32"/>
          <w:szCs w:val="30"/>
          <w:lang w:val="en-US" w:eastAsia="zh-CN"/>
        </w:rPr>
        <w:t>4.住房保障支出</w:t>
      </w:r>
      <w:r>
        <w:rPr>
          <w:rFonts w:hint="eastAsia" w:ascii="仿宋" w:hAnsi="仿宋" w:eastAsia="仿宋"/>
          <w:sz w:val="32"/>
          <w:szCs w:val="30"/>
        </w:rPr>
        <w:t>预算</w:t>
      </w:r>
      <w:r>
        <w:rPr>
          <w:rFonts w:hint="eastAsia" w:ascii="仿宋" w:hAnsi="仿宋" w:eastAsia="仿宋"/>
          <w:sz w:val="32"/>
          <w:szCs w:val="30"/>
          <w:lang w:eastAsia="zh-CN"/>
        </w:rPr>
        <w:t>为</w:t>
      </w:r>
      <w:r>
        <w:rPr>
          <w:rFonts w:hint="eastAsia" w:ascii="Times New Roman" w:hAnsi="Times New Roman" w:eastAsia="仿宋_GB2312" w:cs="Times New Roman"/>
          <w:sz w:val="31"/>
          <w:szCs w:val="31"/>
          <w:lang w:val="en-US" w:eastAsia="zh-CN"/>
        </w:rPr>
        <w:t>123.24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万元</w:t>
      </w:r>
      <w:r>
        <w:rPr>
          <w:rFonts w:hint="eastAsia" w:ascii="仿宋" w:hAnsi="仿宋" w:eastAsia="仿宋"/>
          <w:sz w:val="32"/>
          <w:szCs w:val="30"/>
        </w:rPr>
        <w:t>，支出决算为</w:t>
      </w:r>
      <w:r>
        <w:rPr>
          <w:rFonts w:hint="eastAsia" w:ascii="Times New Roman" w:hAnsi="Times New Roman" w:eastAsia="仿宋_GB2312" w:cs="Times New Roman"/>
          <w:sz w:val="31"/>
          <w:szCs w:val="31"/>
          <w:lang w:val="en-US" w:eastAsia="zh-CN"/>
        </w:rPr>
        <w:t>123.24</w:t>
      </w:r>
      <w:r>
        <w:rPr>
          <w:rFonts w:hint="default" w:ascii="Times New Roman" w:hAnsi="Times New Roman" w:eastAsia="仿宋_GB2312" w:cs="Times New Roman"/>
          <w:spacing w:val="20"/>
          <w:sz w:val="31"/>
          <w:szCs w:val="31"/>
        </w:rPr>
        <w:t xml:space="preserve"> </w:t>
      </w:r>
      <w:r>
        <w:rPr>
          <w:rFonts w:hint="eastAsia" w:ascii="仿宋" w:hAnsi="仿宋" w:eastAsia="仿宋"/>
          <w:sz w:val="32"/>
          <w:szCs w:val="30"/>
        </w:rPr>
        <w:t>万元，</w:t>
      </w:r>
      <w:r>
        <w:rPr>
          <w:rFonts w:hint="eastAsia" w:ascii="仿宋" w:hAnsi="仿宋" w:eastAsia="仿宋"/>
          <w:sz w:val="32"/>
          <w:szCs w:val="30"/>
          <w:lang w:eastAsia="zh-CN"/>
        </w:rPr>
        <w:t>完成本年</w:t>
      </w:r>
      <w:r>
        <w:rPr>
          <w:rFonts w:hint="eastAsia" w:ascii="仿宋" w:hAnsi="仿宋" w:eastAsia="仿宋"/>
          <w:sz w:val="32"/>
          <w:szCs w:val="30"/>
        </w:rPr>
        <w:t>预算。</w:t>
      </w:r>
    </w:p>
    <w:p w14:paraId="3A28EA88">
      <w:pPr>
        <w:spacing w:before="74" w:line="223" w:lineRule="auto"/>
        <w:ind w:left="675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FF0000"/>
          <w:spacing w:val="8"/>
          <w:sz w:val="31"/>
          <w:szCs w:val="31"/>
        </w:rPr>
        <w:t>注：按支出功能分类科目类、款、项级科目逐一说明。</w:t>
      </w:r>
    </w:p>
    <w:p w14:paraId="4AE11DE3">
      <w:pPr>
        <w:pStyle w:val="2"/>
        <w:spacing w:line="255" w:lineRule="auto"/>
        <w:rPr>
          <w:rFonts w:hint="default" w:ascii="Times New Roman" w:hAnsi="Times New Roman" w:eastAsia="仿宋_GB2312" w:cs="Times New Roman"/>
        </w:rPr>
      </w:pPr>
    </w:p>
    <w:p w14:paraId="1E5DC387">
      <w:pPr>
        <w:pStyle w:val="2"/>
        <w:spacing w:line="256" w:lineRule="auto"/>
        <w:rPr>
          <w:rFonts w:hint="default" w:ascii="Times New Roman" w:hAnsi="Times New Roman" w:eastAsia="仿宋_GB2312" w:cs="Times New Roman"/>
        </w:rPr>
      </w:pPr>
    </w:p>
    <w:p w14:paraId="27265BD0">
      <w:pPr>
        <w:pStyle w:val="2"/>
        <w:spacing w:line="256" w:lineRule="auto"/>
        <w:rPr>
          <w:rFonts w:hint="default" w:ascii="Times New Roman" w:hAnsi="Times New Roman" w:eastAsia="仿宋_GB2312" w:cs="Times New Roman"/>
        </w:rPr>
      </w:pPr>
    </w:p>
    <w:p w14:paraId="2E7F4F2E">
      <w:pPr>
        <w:spacing w:before="101" w:line="224" w:lineRule="auto"/>
        <w:ind w:left="677"/>
        <w:rPr>
          <w:rFonts w:hint="default" w:ascii="Times New Roman" w:hAnsi="Times New Roman" w:eastAsia="仿宋_GB2312" w:cs="Times New Roman"/>
          <w:spacing w:val="8"/>
          <w:sz w:val="31"/>
          <w:szCs w:val="31"/>
        </w:rPr>
      </w:pPr>
    </w:p>
    <w:p w14:paraId="4B8F5F5C">
      <w:pPr>
        <w:spacing w:before="101" w:line="224" w:lineRule="auto"/>
        <w:ind w:left="677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六、一般公共预算财政拨款基本支出决算情况说明</w:t>
      </w:r>
    </w:p>
    <w:p w14:paraId="5DC74B25">
      <w:pPr>
        <w:spacing w:before="247" w:line="357" w:lineRule="auto"/>
        <w:ind w:left="64" w:right="96" w:firstLine="607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12"/>
          <w:sz w:val="31"/>
          <w:szCs w:val="31"/>
        </w:rPr>
        <w:t>2023年度一般公共预算财政拨款基本支出</w:t>
      </w:r>
      <w:r>
        <w:rPr>
          <w:rFonts w:hint="default" w:ascii="Times New Roman" w:hAnsi="Times New Roman" w:eastAsia="仿宋_GB2312" w:cs="Times New Roman"/>
          <w:spacing w:val="33"/>
          <w:sz w:val="31"/>
          <w:szCs w:val="31"/>
        </w:rPr>
        <w:t xml:space="preserve"> </w:t>
      </w:r>
      <w:r>
        <w:rPr>
          <w:rFonts w:hint="eastAsia" w:ascii="Times New Roman" w:hAnsi="Times New Roman" w:eastAsia="仿宋_GB2312" w:cs="Times New Roman"/>
          <w:spacing w:val="33"/>
          <w:sz w:val="31"/>
          <w:szCs w:val="31"/>
          <w:lang w:val="en-US" w:eastAsia="zh-CN"/>
        </w:rPr>
        <w:t>1,965.36</w:t>
      </w:r>
      <w:r>
        <w:rPr>
          <w:rFonts w:hint="default" w:ascii="Times New Roman" w:hAnsi="Times New Roman" w:eastAsia="仿宋_GB2312" w:cs="Times New Roman"/>
          <w:spacing w:val="3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2"/>
          <w:sz w:val="31"/>
          <w:szCs w:val="31"/>
        </w:rPr>
        <w:t>万元，其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30"/>
          <w:sz w:val="31"/>
          <w:szCs w:val="31"/>
        </w:rPr>
        <w:t>中：</w:t>
      </w:r>
    </w:p>
    <w:p w14:paraId="746AF25E">
      <w:pPr>
        <w:spacing w:before="53" w:line="367" w:lineRule="auto"/>
        <w:ind w:left="29" w:right="98" w:firstLine="643"/>
        <w:jc w:val="both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人员经费</w:t>
      </w:r>
      <w:r>
        <w:rPr>
          <w:rFonts w:hint="eastAsia" w:ascii="Times New Roman" w:hAnsi="Times New Roman" w:eastAsia="仿宋_GB2312" w:cs="Times New Roman"/>
          <w:spacing w:val="7"/>
          <w:sz w:val="31"/>
          <w:szCs w:val="31"/>
          <w:lang w:val="en-US" w:eastAsia="zh-CN"/>
        </w:rPr>
        <w:t>1863.72</w:t>
      </w: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万元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，主要包括：基本工资、津贴补贴、奖</w:t>
      </w:r>
      <w:r>
        <w:rPr>
          <w:rFonts w:hint="default" w:ascii="Times New Roman" w:hAnsi="Times New Roman" w:eastAsia="仿宋_GB2312" w:cs="Times New Roman"/>
          <w:spacing w:val="1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金、伙食补助费、绩效工资、机关事业单位基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本养老保险缴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费、职业年金缴费、职工基本医疗保险缴费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、公务员医疗补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助缴费、其他社会保障缴费、住房公积金、医疗费、</w:t>
      </w:r>
      <w:r>
        <w:rPr>
          <w:rFonts w:hint="default" w:ascii="Times New Roman" w:hAnsi="Times New Roman" w:eastAsia="仿宋_GB2312" w:cs="Times New Roman"/>
          <w:spacing w:val="-5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其他工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资福利支出、离休费、退休费、退职（役） 费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、抚恤金、生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活补助、救济费、医疗费补助、助学金、奖励金、个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人农业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生产补贴、代缴社会保险费和其他对个人和家庭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的补助。</w:t>
      </w:r>
    </w:p>
    <w:p w14:paraId="4C30D158">
      <w:pPr>
        <w:spacing w:before="52" w:line="222" w:lineRule="auto"/>
        <w:ind w:left="675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FF0000"/>
          <w:spacing w:val="6"/>
          <w:sz w:val="31"/>
          <w:szCs w:val="31"/>
        </w:rPr>
        <w:t>注：上述科目可根据本部门情况增减。</w:t>
      </w:r>
    </w:p>
    <w:p w14:paraId="31F0329F">
      <w:pPr>
        <w:spacing w:before="254" w:line="367" w:lineRule="auto"/>
        <w:ind w:left="26" w:firstLine="64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-1"/>
          <w:sz w:val="31"/>
          <w:szCs w:val="31"/>
        </w:rPr>
        <w:t>公用经费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 xml:space="preserve"> </w:t>
      </w:r>
      <w:r>
        <w:rPr>
          <w:rFonts w:hint="eastAsia" w:ascii="Times New Roman" w:hAnsi="Times New Roman" w:eastAsia="仿宋_GB2312" w:cs="Times New Roman"/>
          <w:spacing w:val="-1"/>
          <w:sz w:val="31"/>
          <w:szCs w:val="31"/>
          <w:lang w:val="en-US" w:eastAsia="zh-CN"/>
        </w:rPr>
        <w:t>101.65</w:t>
      </w:r>
      <w:r>
        <w:rPr>
          <w:rFonts w:hint="default" w:ascii="Times New Roman" w:hAnsi="Times New Roman" w:eastAsia="仿宋_GB2312" w:cs="Times New Roman"/>
          <w:b/>
          <w:bCs/>
          <w:spacing w:val="-1"/>
          <w:sz w:val="31"/>
          <w:szCs w:val="31"/>
        </w:rPr>
        <w:t>万元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，主要包括：办公费、印刷费、咨询费、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手续费、水费、电费、邮电费、取暖费、物业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管理费、差旅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费、因公出国（境）费、维修（护）费、租赁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费、</w:t>
      </w:r>
      <w:r>
        <w:rPr>
          <w:rFonts w:hint="default" w:ascii="Times New Roman" w:hAnsi="Times New Roman" w:eastAsia="仿宋_GB2312" w:cs="Times New Roman"/>
          <w:spacing w:val="8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会议费、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培训费、公务接待费、专用材料费、被装购置费、专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用燃料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费、劳务费、委托业务费、工会经费、福利费、公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务用车运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行维护费、其他交通费用、税金及附加费用、其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他商品和服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务支出、房屋建筑物购建、办公设备购置、专用设备购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置、</w:t>
      </w:r>
    </w:p>
    <w:p w14:paraId="5D501799">
      <w:pPr>
        <w:spacing w:line="367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19" w:type="default"/>
          <w:pgSz w:w="11907" w:h="16839"/>
          <w:pgMar w:top="1431" w:right="1699" w:bottom="1153" w:left="1785" w:header="0" w:footer="965" w:gutter="0"/>
          <w:cols w:space="720" w:num="1"/>
        </w:sectPr>
      </w:pPr>
    </w:p>
    <w:p w14:paraId="13575BAF">
      <w:pPr>
        <w:spacing w:before="158" w:line="356" w:lineRule="auto"/>
        <w:ind w:left="39" w:right="161" w:hanging="18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基础设施建设、大型修缮、信息网络及软件购置更新、其他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资本性支出</w:t>
      </w:r>
    </w:p>
    <w:p w14:paraId="456C90D0">
      <w:pPr>
        <w:spacing w:before="53" w:line="222" w:lineRule="auto"/>
        <w:ind w:left="675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FF0000"/>
          <w:spacing w:val="6"/>
          <w:sz w:val="31"/>
          <w:szCs w:val="31"/>
        </w:rPr>
        <w:t>注：上述科目可根据本部门情况增减。</w:t>
      </w:r>
    </w:p>
    <w:p w14:paraId="5B94F5AB">
      <w:pPr>
        <w:pStyle w:val="2"/>
        <w:spacing w:line="256" w:lineRule="auto"/>
        <w:rPr>
          <w:rFonts w:hint="default" w:ascii="Times New Roman" w:hAnsi="Times New Roman" w:eastAsia="仿宋_GB2312" w:cs="Times New Roman"/>
        </w:rPr>
      </w:pPr>
    </w:p>
    <w:p w14:paraId="2B8C5070">
      <w:pPr>
        <w:pStyle w:val="2"/>
        <w:spacing w:line="256" w:lineRule="auto"/>
        <w:rPr>
          <w:rFonts w:hint="default" w:ascii="Times New Roman" w:hAnsi="Times New Roman" w:eastAsia="仿宋_GB2312" w:cs="Times New Roman"/>
        </w:rPr>
      </w:pPr>
    </w:p>
    <w:p w14:paraId="07EFC623">
      <w:pPr>
        <w:pStyle w:val="2"/>
        <w:spacing w:line="256" w:lineRule="auto"/>
        <w:rPr>
          <w:rFonts w:hint="default" w:ascii="Times New Roman" w:hAnsi="Times New Roman" w:eastAsia="仿宋_GB2312" w:cs="Times New Roman"/>
        </w:rPr>
      </w:pPr>
    </w:p>
    <w:p w14:paraId="6D180E10">
      <w:pPr>
        <w:spacing w:before="101" w:line="224" w:lineRule="auto"/>
        <w:ind w:left="505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七、政府性基金预算财政拨款收入支出决算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情况说明</w:t>
      </w:r>
    </w:p>
    <w:p w14:paraId="7EA54E3F">
      <w:pPr>
        <w:spacing w:before="246" w:line="366" w:lineRule="auto"/>
        <w:ind w:left="38" w:firstLine="47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33"/>
          <w:sz w:val="31"/>
          <w:szCs w:val="31"/>
        </w:rPr>
        <w:t>2023 年度政府性基金预算财政拨款年初结转和结余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 万元；本年收入 万元，比上年增加（减少）万元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，增长（</w:t>
      </w:r>
      <w:r>
        <w:rPr>
          <w:rFonts w:hint="default" w:ascii="Times New Roman" w:hAnsi="Times New Roman" w:eastAsia="仿宋_GB2312" w:cs="Times New Roman"/>
          <w:spacing w:val="-8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下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降） %，主要是</w:t>
      </w:r>
      <w:r>
        <w:rPr>
          <w:rFonts w:hint="default" w:ascii="Times New Roman" w:hAnsi="Times New Roman" w:eastAsia="仿宋_GB2312" w:cs="Times New Roman"/>
          <w:spacing w:val="-9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……；本年支出 万元，</w:t>
      </w:r>
      <w:r>
        <w:rPr>
          <w:rFonts w:hint="default" w:ascii="Times New Roman" w:hAnsi="Times New Roman" w:eastAsia="仿宋_GB2312" w:cs="Times New Roman"/>
          <w:spacing w:val="-7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比上年增加（减少）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万元，增长（</w:t>
      </w:r>
      <w:r>
        <w:rPr>
          <w:rFonts w:hint="default" w:ascii="Times New Roman" w:hAnsi="Times New Roman" w:eastAsia="仿宋_GB2312" w:cs="Times New Roman"/>
          <w:spacing w:val="-7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下降）</w:t>
      </w:r>
      <w:r>
        <w:rPr>
          <w:rFonts w:hint="default" w:ascii="Times New Roman" w:hAnsi="Times New Roman" w:eastAsia="仿宋_GB2312" w:cs="Times New Roman"/>
          <w:spacing w:val="5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%，主要是</w:t>
      </w:r>
      <w:r>
        <w:rPr>
          <w:rFonts w:hint="default" w:ascii="Times New Roman" w:hAnsi="Times New Roman" w:eastAsia="仿宋_GB2312" w:cs="Times New Roman"/>
          <w:spacing w:val="-9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……</w:t>
      </w:r>
      <w:r>
        <w:rPr>
          <w:rFonts w:hint="default" w:ascii="Times New Roman" w:hAnsi="Times New Roman" w:eastAsia="仿宋_GB2312" w:cs="Times New Roman"/>
          <w:spacing w:val="-11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；年末结转和结余</w:t>
      </w:r>
      <w:r>
        <w:rPr>
          <w:rFonts w:hint="default" w:ascii="Times New Roman" w:hAnsi="Times New Roman" w:eastAsia="仿宋_GB2312" w:cs="Times New Roman"/>
          <w:spacing w:val="4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元。支出具体情况如下：</w:t>
      </w:r>
    </w:p>
    <w:p w14:paraId="52005B0F">
      <w:pPr>
        <w:spacing w:before="50" w:line="322" w:lineRule="auto"/>
        <w:ind w:left="34" w:right="158" w:firstLine="65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 xml:space="preserve">1.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（类）</w:t>
      </w:r>
      <w:r>
        <w:rPr>
          <w:rFonts w:hint="default" w:ascii="Times New Roman" w:hAnsi="Times New Roman" w:eastAsia="仿宋_GB2312" w:cs="Times New Roman"/>
          <w:spacing w:val="-7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（款）</w:t>
      </w:r>
      <w:r>
        <w:rPr>
          <w:rFonts w:hint="default" w:ascii="Times New Roman" w:hAnsi="Times New Roman" w:eastAsia="仿宋_GB2312" w:cs="Times New Roman"/>
          <w:spacing w:val="-8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（项）。政府性基金财政拨款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支出为  万元，主要用于……。完成年初预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算的  %,决算数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大（小）于预算数的主要原因是</w:t>
      </w:r>
      <w:r>
        <w:rPr>
          <w:rFonts w:hint="default" w:ascii="Times New Roman" w:hAnsi="Times New Roman" w:eastAsia="仿宋_GB2312" w:cs="Times New Roman"/>
          <w:spacing w:val="-9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…。</w:t>
      </w:r>
    </w:p>
    <w:p w14:paraId="12D4F1E9">
      <w:pPr>
        <w:spacing w:before="250" w:line="322" w:lineRule="auto"/>
        <w:ind w:left="34" w:right="159" w:firstLine="63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 xml:space="preserve">2.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>（类）</w:t>
      </w:r>
      <w:r>
        <w:rPr>
          <w:rFonts w:hint="default" w:ascii="Times New Roman" w:hAnsi="Times New Roman" w:eastAsia="仿宋_GB2312" w:cs="Times New Roman"/>
          <w:spacing w:val="-8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>（款）</w:t>
      </w:r>
      <w:r>
        <w:rPr>
          <w:rFonts w:hint="default" w:ascii="Times New Roman" w:hAnsi="Times New Roman" w:eastAsia="仿宋_GB2312" w:cs="Times New Roman"/>
          <w:spacing w:val="-8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>（项）。政府性基金财政拨款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支出为  万元，主要用于……。完成年初预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算的  %,决算数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大（小）于预算数的主要原因是</w:t>
      </w:r>
      <w:r>
        <w:rPr>
          <w:rFonts w:hint="default" w:ascii="Times New Roman" w:hAnsi="Times New Roman" w:eastAsia="仿宋_GB2312" w:cs="Times New Roman"/>
          <w:spacing w:val="-9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…。</w:t>
      </w:r>
    </w:p>
    <w:p w14:paraId="7CE5C5F4">
      <w:pPr>
        <w:spacing w:before="250" w:line="322" w:lineRule="auto"/>
        <w:ind w:left="34" w:right="158" w:firstLine="63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 xml:space="preserve">3.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>（类）</w:t>
      </w:r>
      <w:r>
        <w:rPr>
          <w:rFonts w:hint="default" w:ascii="Times New Roman" w:hAnsi="Times New Roman" w:eastAsia="仿宋_GB2312" w:cs="Times New Roman"/>
          <w:spacing w:val="-8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>（款）</w:t>
      </w:r>
      <w:r>
        <w:rPr>
          <w:rFonts w:hint="default" w:ascii="Times New Roman" w:hAnsi="Times New Roman" w:eastAsia="仿宋_GB2312" w:cs="Times New Roman"/>
          <w:spacing w:val="-8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>（项）。政府性基金财政拨款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支出为  万元，主要用于……。完成年初预算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的  %,决算数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大（小）于预算数的主要原因是</w:t>
      </w:r>
      <w:r>
        <w:rPr>
          <w:rFonts w:hint="default" w:ascii="Times New Roman" w:hAnsi="Times New Roman" w:eastAsia="仿宋_GB2312" w:cs="Times New Roman"/>
          <w:spacing w:val="-9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…。</w:t>
      </w:r>
    </w:p>
    <w:p w14:paraId="0F1B8D84">
      <w:pPr>
        <w:spacing w:before="304" w:line="185" w:lineRule="auto"/>
        <w:ind w:left="66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-5"/>
          <w:sz w:val="31"/>
          <w:szCs w:val="31"/>
        </w:rPr>
        <w:t>4.</w:t>
      </w:r>
      <w:r>
        <w:rPr>
          <w:rFonts w:hint="default" w:ascii="Times New Roman" w:hAnsi="Times New Roman" w:eastAsia="仿宋_GB2312" w:cs="Times New Roman"/>
          <w:spacing w:val="-10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5"/>
          <w:sz w:val="31"/>
          <w:szCs w:val="31"/>
        </w:rPr>
        <w:t>……</w:t>
      </w:r>
    </w:p>
    <w:p w14:paraId="1C87446A">
      <w:pPr>
        <w:spacing w:before="260" w:line="223" w:lineRule="auto"/>
        <w:ind w:left="675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FF0000"/>
          <w:spacing w:val="7"/>
          <w:sz w:val="31"/>
          <w:szCs w:val="31"/>
        </w:rPr>
        <w:t>注：按支出功能分类科目类、款、项级科目逐一说明。</w:t>
      </w:r>
    </w:p>
    <w:p w14:paraId="047F64D0">
      <w:pPr>
        <w:spacing w:line="223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20" w:type="default"/>
          <w:pgSz w:w="11907" w:h="16839"/>
          <w:pgMar w:top="1431" w:right="1641" w:bottom="1153" w:left="1785" w:header="0" w:footer="965" w:gutter="0"/>
          <w:cols w:space="720" w:num="1"/>
        </w:sectPr>
      </w:pPr>
    </w:p>
    <w:p w14:paraId="1BA4AE4F">
      <w:pPr>
        <w:spacing w:before="158" w:line="224" w:lineRule="auto"/>
        <w:ind w:left="74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八、国有资本经营预算财政拨款支出决算情况说明</w:t>
      </w:r>
    </w:p>
    <w:p w14:paraId="1548247E">
      <w:pPr>
        <w:spacing w:before="248" w:line="220" w:lineRule="auto"/>
        <w:ind w:left="67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2023 年度国有资本经营预算年初结转和结余   万元；</w:t>
      </w:r>
    </w:p>
    <w:p w14:paraId="6713AF0F">
      <w:pPr>
        <w:spacing w:before="255" w:line="364" w:lineRule="auto"/>
        <w:ind w:left="23" w:firstLine="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-5"/>
          <w:sz w:val="31"/>
          <w:szCs w:val="31"/>
        </w:rPr>
        <w:t xml:space="preserve">本年收入 万元，比上年增加（减少）万元，增长（下降） </w:t>
      </w:r>
      <w:r>
        <w:rPr>
          <w:rFonts w:hint="default" w:ascii="Times New Roman" w:hAnsi="Times New Roman" w:eastAsia="仿宋_GB2312" w:cs="Times New Roman"/>
          <w:spacing w:val="-6"/>
          <w:sz w:val="31"/>
          <w:szCs w:val="31"/>
        </w:rPr>
        <w:t>%，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主要是</w:t>
      </w:r>
      <w:r>
        <w:rPr>
          <w:rFonts w:hint="default" w:ascii="Times New Roman" w:hAnsi="Times New Roman" w:eastAsia="仿宋_GB2312" w:cs="Times New Roman"/>
          <w:spacing w:val="-9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……</w:t>
      </w:r>
      <w:r>
        <w:rPr>
          <w:rFonts w:hint="default" w:ascii="Times New Roman" w:hAnsi="Times New Roman" w:eastAsia="仿宋_GB2312" w:cs="Times New Roman"/>
          <w:spacing w:val="-11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；本年支出</w:t>
      </w:r>
      <w:r>
        <w:rPr>
          <w:rFonts w:hint="default" w:ascii="Times New Roman" w:hAnsi="Times New Roman" w:eastAsia="仿宋_GB2312" w:cs="Times New Roman"/>
          <w:spacing w:val="4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-7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比上年增加（减少）</w:t>
      </w:r>
      <w:r>
        <w:rPr>
          <w:rFonts w:hint="default" w:ascii="Times New Roman" w:hAnsi="Times New Roman" w:eastAsia="仿宋_GB2312" w:cs="Times New Roman"/>
          <w:spacing w:val="-9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增长（</w:t>
      </w:r>
      <w:r>
        <w:rPr>
          <w:rFonts w:hint="default" w:ascii="Times New Roman" w:hAnsi="Times New Roman" w:eastAsia="仿宋_GB2312" w:cs="Times New Roman"/>
          <w:spacing w:val="-7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下降）</w:t>
      </w:r>
      <w:r>
        <w:rPr>
          <w:rFonts w:hint="default" w:ascii="Times New Roman" w:hAnsi="Times New Roman" w:eastAsia="仿宋_GB2312" w:cs="Times New Roman"/>
          <w:spacing w:val="5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%，主要是</w:t>
      </w:r>
      <w:r>
        <w:rPr>
          <w:rFonts w:hint="default" w:ascii="Times New Roman" w:hAnsi="Times New Roman" w:eastAsia="仿宋_GB2312" w:cs="Times New Roman"/>
          <w:spacing w:val="-9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……</w:t>
      </w:r>
      <w:r>
        <w:rPr>
          <w:rFonts w:hint="default" w:ascii="Times New Roman" w:hAnsi="Times New Roman" w:eastAsia="仿宋_GB2312" w:cs="Times New Roman"/>
          <w:spacing w:val="-11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；年末结转和结余</w:t>
      </w:r>
      <w:r>
        <w:rPr>
          <w:rFonts w:hint="default" w:ascii="Times New Roman" w:hAnsi="Times New Roman" w:eastAsia="仿宋_GB2312" w:cs="Times New Roman"/>
          <w:spacing w:val="4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万元。支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出具体情况如下：</w:t>
      </w:r>
    </w:p>
    <w:p w14:paraId="57A3F825">
      <w:pPr>
        <w:spacing w:before="51" w:line="322" w:lineRule="auto"/>
        <w:ind w:left="33" w:right="84" w:firstLine="657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 xml:space="preserve">1.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（类）</w:t>
      </w:r>
      <w:r>
        <w:rPr>
          <w:rFonts w:hint="default" w:ascii="Times New Roman" w:hAnsi="Times New Roman" w:eastAsia="仿宋_GB2312" w:cs="Times New Roman"/>
          <w:spacing w:val="-7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（款）</w:t>
      </w:r>
      <w:r>
        <w:rPr>
          <w:rFonts w:hint="default" w:ascii="Times New Roman" w:hAnsi="Times New Roman" w:eastAsia="仿宋_GB2312" w:cs="Times New Roman"/>
          <w:spacing w:val="-8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（项）。国有资本经营预算财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政拨款支出为  万元，主要用于……。完成年初预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算的  %,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决算数大（小）于预算数的主要原因是</w:t>
      </w:r>
      <w:r>
        <w:rPr>
          <w:rFonts w:hint="default" w:ascii="Times New Roman" w:hAnsi="Times New Roman" w:eastAsia="仿宋_GB2312" w:cs="Times New Roman"/>
          <w:spacing w:val="-10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…。</w:t>
      </w:r>
    </w:p>
    <w:p w14:paraId="0047E01E">
      <w:pPr>
        <w:spacing w:before="249" w:line="322" w:lineRule="auto"/>
        <w:ind w:left="33" w:right="84" w:firstLine="638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 xml:space="preserve">2.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>（类）</w:t>
      </w:r>
      <w:r>
        <w:rPr>
          <w:rFonts w:hint="default" w:ascii="Times New Roman" w:hAnsi="Times New Roman" w:eastAsia="仿宋_GB2312" w:cs="Times New Roman"/>
          <w:spacing w:val="-8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>（款）</w:t>
      </w:r>
      <w:r>
        <w:rPr>
          <w:rFonts w:hint="default" w:ascii="Times New Roman" w:hAnsi="Times New Roman" w:eastAsia="仿宋_GB2312" w:cs="Times New Roman"/>
          <w:spacing w:val="-8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>（项）。国有资本经营预算财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政拨款支出为  万元，主要用于……。完成年初预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算的  %,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决算数大（小）于预算数的主要原因是</w:t>
      </w:r>
      <w:r>
        <w:rPr>
          <w:rFonts w:hint="default" w:ascii="Times New Roman" w:hAnsi="Times New Roman" w:eastAsia="仿宋_GB2312" w:cs="Times New Roman"/>
          <w:spacing w:val="-10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…。</w:t>
      </w:r>
    </w:p>
    <w:p w14:paraId="6081B57B">
      <w:pPr>
        <w:spacing w:before="251" w:line="322" w:lineRule="auto"/>
        <w:ind w:left="33" w:right="84" w:firstLine="64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 xml:space="preserve">3.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>（类）</w:t>
      </w:r>
      <w:r>
        <w:rPr>
          <w:rFonts w:hint="default" w:ascii="Times New Roman" w:hAnsi="Times New Roman" w:eastAsia="仿宋_GB2312" w:cs="Times New Roman"/>
          <w:spacing w:val="-8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>（款）</w:t>
      </w:r>
      <w:r>
        <w:rPr>
          <w:rFonts w:hint="default" w:ascii="Times New Roman" w:hAnsi="Times New Roman" w:eastAsia="仿宋_GB2312" w:cs="Times New Roman"/>
          <w:spacing w:val="-8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>（项）。国有资本经营预算财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政拨款支出为  万元，主要用于……。完成年初预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算的  %,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决算数大（小）于预算数的主要原因是</w:t>
      </w:r>
      <w:r>
        <w:rPr>
          <w:rFonts w:hint="default" w:ascii="Times New Roman" w:hAnsi="Times New Roman" w:eastAsia="仿宋_GB2312" w:cs="Times New Roman"/>
          <w:spacing w:val="-10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…。</w:t>
      </w:r>
    </w:p>
    <w:p w14:paraId="4E524156">
      <w:pPr>
        <w:spacing w:before="303" w:line="185" w:lineRule="auto"/>
        <w:ind w:left="66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-5"/>
          <w:sz w:val="31"/>
          <w:szCs w:val="31"/>
        </w:rPr>
        <w:t>4.</w:t>
      </w:r>
      <w:r>
        <w:rPr>
          <w:rFonts w:hint="default" w:ascii="Times New Roman" w:hAnsi="Times New Roman" w:eastAsia="仿宋_GB2312" w:cs="Times New Roman"/>
          <w:spacing w:val="-10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5"/>
          <w:sz w:val="31"/>
          <w:szCs w:val="31"/>
        </w:rPr>
        <w:t>……</w:t>
      </w:r>
    </w:p>
    <w:p w14:paraId="009F9ED1">
      <w:pPr>
        <w:spacing w:before="260" w:line="223" w:lineRule="auto"/>
        <w:ind w:left="675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FF0000"/>
          <w:spacing w:val="7"/>
          <w:sz w:val="31"/>
          <w:szCs w:val="31"/>
        </w:rPr>
        <w:t>注：按支出功能分类科目类、款、项级科目逐一说明。</w:t>
      </w:r>
    </w:p>
    <w:p w14:paraId="38C88334">
      <w:pPr>
        <w:pStyle w:val="2"/>
        <w:spacing w:line="255" w:lineRule="auto"/>
        <w:rPr>
          <w:rFonts w:hint="default" w:ascii="Times New Roman" w:hAnsi="Times New Roman" w:eastAsia="仿宋_GB2312" w:cs="Times New Roman"/>
        </w:rPr>
      </w:pPr>
    </w:p>
    <w:p w14:paraId="06C87D0B">
      <w:pPr>
        <w:pStyle w:val="2"/>
        <w:spacing w:line="256" w:lineRule="auto"/>
        <w:rPr>
          <w:rFonts w:hint="default" w:ascii="Times New Roman" w:hAnsi="Times New Roman" w:eastAsia="仿宋_GB2312" w:cs="Times New Roman"/>
        </w:rPr>
      </w:pPr>
    </w:p>
    <w:p w14:paraId="28EB140D">
      <w:pPr>
        <w:pStyle w:val="2"/>
        <w:spacing w:line="256" w:lineRule="auto"/>
        <w:rPr>
          <w:rFonts w:hint="default" w:ascii="Times New Roman" w:hAnsi="Times New Roman" w:eastAsia="仿宋_GB2312" w:cs="Times New Roman"/>
        </w:rPr>
      </w:pPr>
    </w:p>
    <w:p w14:paraId="619F8EAD">
      <w:pPr>
        <w:spacing w:before="101" w:line="224" w:lineRule="auto"/>
        <w:ind w:left="675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九、财政拨款“三公”经费支出决算情况说明</w:t>
      </w:r>
    </w:p>
    <w:p w14:paraId="37ADCB81">
      <w:pPr>
        <w:spacing w:before="248" w:line="224" w:lineRule="auto"/>
        <w:ind w:left="675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FF0000"/>
          <w:spacing w:val="3"/>
          <w:sz w:val="31"/>
          <w:szCs w:val="31"/>
        </w:rPr>
        <w:t>注：</w:t>
      </w:r>
      <w:r>
        <w:rPr>
          <w:rFonts w:hint="default" w:ascii="Times New Roman" w:hAnsi="Times New Roman" w:eastAsia="仿宋_GB2312" w:cs="Times New Roman"/>
          <w:color w:val="FF0000"/>
          <w:spacing w:val="-8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color w:val="FF0000"/>
          <w:spacing w:val="3"/>
          <w:sz w:val="31"/>
          <w:szCs w:val="31"/>
        </w:rPr>
        <w:t>“三公”经费增减变化原因要分项说明。</w:t>
      </w:r>
    </w:p>
    <w:p w14:paraId="3685E036">
      <w:pPr>
        <w:spacing w:before="249" w:line="223" w:lineRule="auto"/>
        <w:ind w:left="65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（</w:t>
      </w:r>
      <w:r>
        <w:rPr>
          <w:rFonts w:hint="default" w:ascii="Times New Roman" w:hAnsi="Times New Roman" w:eastAsia="仿宋_GB2312" w:cs="Times New Roman"/>
          <w:spacing w:val="-6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一）“三公”经费财政拨款支出决算总体情况说明</w:t>
      </w:r>
    </w:p>
    <w:p w14:paraId="46C86ABC">
      <w:pPr>
        <w:spacing w:before="249" w:line="223" w:lineRule="auto"/>
        <w:ind w:left="67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-4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年度“三公”经费财政拨款支出预算为  万元，支</w:t>
      </w:r>
    </w:p>
    <w:p w14:paraId="49ECBEF1">
      <w:pPr>
        <w:spacing w:line="223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21" w:type="default"/>
          <w:pgSz w:w="11907" w:h="16839"/>
          <w:pgMar w:top="1431" w:right="1714" w:bottom="1153" w:left="1785" w:header="0" w:footer="965" w:gutter="0"/>
          <w:cols w:space="720" w:num="1"/>
        </w:sectPr>
      </w:pPr>
    </w:p>
    <w:p w14:paraId="3FAD1108">
      <w:pPr>
        <w:spacing w:before="156" w:line="362" w:lineRule="auto"/>
        <w:ind w:left="41" w:firstLine="26"/>
        <w:jc w:val="both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出决算为  万元，完成预算的  %；较</w:t>
      </w:r>
      <w:r>
        <w:rPr>
          <w:rFonts w:hint="default" w:ascii="Times New Roman" w:hAnsi="Times New Roman" w:eastAsia="仿宋_GB2312" w:cs="Times New Roman"/>
          <w:spacing w:val="-2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2022</w:t>
      </w:r>
      <w:r>
        <w:rPr>
          <w:rFonts w:hint="default" w:ascii="Times New Roman" w:hAnsi="Times New Roman" w:eastAsia="仿宋_GB2312" w:cs="Times New Roman"/>
          <w:spacing w:val="-6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年度增加（减少）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万元，增长（下降） %，主要原因是</w:t>
      </w:r>
      <w:r>
        <w:rPr>
          <w:rFonts w:hint="default" w:ascii="Times New Roman" w:hAnsi="Times New Roman" w:eastAsia="仿宋_GB2312" w:cs="Times New Roman"/>
          <w:spacing w:val="-9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…。决算数大（小）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-3"/>
          <w:sz w:val="31"/>
          <w:szCs w:val="31"/>
        </w:rPr>
        <w:t>于预算数的主要原因</w:t>
      </w:r>
      <w:r>
        <w:rPr>
          <w:rFonts w:hint="default" w:ascii="Times New Roman" w:hAnsi="Times New Roman" w:eastAsia="仿宋_GB2312" w:cs="Times New Roman"/>
          <w:spacing w:val="-9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3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3"/>
          <w:sz w:val="31"/>
          <w:szCs w:val="31"/>
        </w:rPr>
        <w:t>…。</w:t>
      </w:r>
    </w:p>
    <w:p w14:paraId="5D605321">
      <w:pPr>
        <w:spacing w:before="50" w:line="223" w:lineRule="auto"/>
        <w:ind w:left="65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（二）“三公”经费财政拨款支出决算具体情况说明</w:t>
      </w:r>
    </w:p>
    <w:p w14:paraId="7C03B828">
      <w:pPr>
        <w:spacing w:before="248" w:line="366" w:lineRule="auto"/>
        <w:ind w:left="23" w:right="74" w:firstLine="668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1.因公出国（境）费预算为  万元,支出决算为</w:t>
      </w:r>
      <w:r>
        <w:rPr>
          <w:rFonts w:hint="default" w:ascii="Times New Roman" w:hAnsi="Times New Roman" w:eastAsia="仿宋_GB2312" w:cs="Times New Roman"/>
          <w:spacing w:val="20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万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元，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完成预算的   %；支出决算较</w:t>
      </w:r>
      <w:r>
        <w:rPr>
          <w:rFonts w:hint="default" w:ascii="Times New Roman" w:hAnsi="Times New Roman" w:eastAsia="仿宋_GB2312" w:cs="Times New Roman"/>
          <w:spacing w:val="-5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2022</w:t>
      </w:r>
      <w:r>
        <w:rPr>
          <w:rFonts w:hint="default" w:ascii="Times New Roman" w:hAnsi="Times New Roman" w:eastAsia="仿宋_GB2312" w:cs="Times New Roman"/>
          <w:spacing w:val="-5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年度增加（减少）</w:t>
      </w:r>
      <w:r>
        <w:rPr>
          <w:rFonts w:hint="default" w:ascii="Times New Roman" w:hAnsi="Times New Roman" w:eastAsia="仿宋_GB2312" w:cs="Times New Roman"/>
          <w:spacing w:val="-3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万元，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增长（下降）</w:t>
      </w:r>
      <w:r>
        <w:rPr>
          <w:rFonts w:hint="default" w:ascii="Times New Roman" w:hAnsi="Times New Roman" w:eastAsia="仿宋_GB2312" w:cs="Times New Roman"/>
          <w:spacing w:val="7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%，主要原因……。决算数大（小）于预算数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的主要原因</w:t>
      </w:r>
      <w:r>
        <w:rPr>
          <w:rFonts w:hint="default" w:ascii="Times New Roman" w:hAnsi="Times New Roman" w:eastAsia="仿宋_GB2312" w:cs="Times New Roman"/>
          <w:spacing w:val="-10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……。全年共有因公出国（境）</w:t>
      </w:r>
      <w:r>
        <w:rPr>
          <w:rFonts w:hint="default" w:ascii="Times New Roman" w:hAnsi="Times New Roman" w:eastAsia="仿宋_GB2312" w:cs="Times New Roman"/>
          <w:spacing w:val="-8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团组  个，</w:t>
      </w:r>
      <w:r>
        <w:rPr>
          <w:rFonts w:hint="default" w:ascii="Times New Roman" w:hAnsi="Times New Roman" w:eastAsia="仿宋_GB2312" w:cs="Times New Roman"/>
          <w:spacing w:val="-9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因公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出国（境）  人次。主要包括</w:t>
      </w:r>
      <w:r>
        <w:rPr>
          <w:rFonts w:hint="default" w:ascii="Times New Roman" w:hAnsi="Times New Roman" w:eastAsia="仿宋_GB2312" w:cs="Times New Roman"/>
          <w:spacing w:val="-10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…。</w:t>
      </w:r>
    </w:p>
    <w:p w14:paraId="3AD8BDC9">
      <w:pPr>
        <w:spacing w:before="47" w:line="361" w:lineRule="auto"/>
        <w:ind w:left="34" w:right="155" w:firstLine="640"/>
        <w:jc w:val="both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FF0000"/>
          <w:spacing w:val="8"/>
          <w:sz w:val="31"/>
          <w:szCs w:val="31"/>
        </w:rPr>
        <w:t>注：细化说明因公出国（境）团组数及人数，主要包括</w:t>
      </w:r>
      <w:r>
        <w:rPr>
          <w:rFonts w:hint="default" w:ascii="Times New Roman" w:hAnsi="Times New Roman" w:eastAsia="仿宋_GB2312" w:cs="Times New Roman"/>
          <w:color w:val="FF0000"/>
          <w:spacing w:val="1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color w:val="FF0000"/>
          <w:spacing w:val="7"/>
          <w:sz w:val="31"/>
          <w:szCs w:val="31"/>
        </w:rPr>
        <w:t>要分别列出出国事项及开支金额。没有的也要分别填列</w:t>
      </w:r>
      <w:r>
        <w:rPr>
          <w:rFonts w:hint="default" w:ascii="Times New Roman" w:hAnsi="Times New Roman" w:eastAsia="仿宋_GB2312" w:cs="Times New Roman"/>
          <w:color w:val="FF0000"/>
          <w:spacing w:val="-5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color w:val="FF0000"/>
          <w:spacing w:val="7"/>
          <w:sz w:val="31"/>
          <w:szCs w:val="31"/>
        </w:rPr>
        <w:t>0</w:t>
      </w:r>
      <w:r>
        <w:rPr>
          <w:rFonts w:hint="default" w:ascii="Times New Roman" w:hAnsi="Times New Roman" w:eastAsia="仿宋_GB2312" w:cs="Times New Roman"/>
          <w:color w:val="FF0000"/>
          <w:spacing w:val="-6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color w:val="FF0000"/>
          <w:spacing w:val="7"/>
          <w:sz w:val="31"/>
          <w:szCs w:val="31"/>
        </w:rPr>
        <w:t>个</w:t>
      </w:r>
      <w:r>
        <w:rPr>
          <w:rFonts w:hint="default" w:ascii="Times New Roman" w:hAnsi="Times New Roman" w:eastAsia="仿宋_GB2312" w:cs="Times New Roman"/>
          <w:color w:val="FF000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color w:val="FF0000"/>
          <w:spacing w:val="7"/>
          <w:sz w:val="31"/>
          <w:szCs w:val="31"/>
        </w:rPr>
        <w:t>和</w:t>
      </w:r>
      <w:r>
        <w:rPr>
          <w:rFonts w:hint="default" w:ascii="Times New Roman" w:hAnsi="Times New Roman" w:eastAsia="仿宋_GB2312" w:cs="Times New Roman"/>
          <w:color w:val="FF0000"/>
          <w:spacing w:val="-5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color w:val="FF0000"/>
          <w:spacing w:val="7"/>
          <w:sz w:val="31"/>
          <w:szCs w:val="31"/>
        </w:rPr>
        <w:t>0</w:t>
      </w:r>
      <w:r>
        <w:rPr>
          <w:rFonts w:hint="default" w:ascii="Times New Roman" w:hAnsi="Times New Roman" w:eastAsia="仿宋_GB2312" w:cs="Times New Roman"/>
          <w:color w:val="FF0000"/>
          <w:spacing w:val="-6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color w:val="FF0000"/>
          <w:spacing w:val="7"/>
          <w:sz w:val="31"/>
          <w:szCs w:val="31"/>
        </w:rPr>
        <w:t>人或附说明无因公出国（境）团组和人数字</w:t>
      </w:r>
      <w:r>
        <w:rPr>
          <w:rFonts w:hint="default" w:ascii="Times New Roman" w:hAnsi="Times New Roman" w:eastAsia="仿宋_GB2312" w:cs="Times New Roman"/>
          <w:color w:val="FF0000"/>
          <w:spacing w:val="6"/>
          <w:sz w:val="31"/>
          <w:szCs w:val="31"/>
        </w:rPr>
        <w:t>样。</w:t>
      </w:r>
    </w:p>
    <w:p w14:paraId="78D9C6B0">
      <w:pPr>
        <w:spacing w:before="57" w:line="364" w:lineRule="auto"/>
        <w:ind w:left="23" w:right="156" w:firstLine="648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21"/>
          <w:sz w:val="31"/>
          <w:szCs w:val="31"/>
        </w:rPr>
        <w:t>2.公务用车购置及运行费预算为  万元</w:t>
      </w:r>
      <w:r>
        <w:rPr>
          <w:rFonts w:hint="default" w:ascii="Times New Roman" w:hAnsi="Times New Roman" w:eastAsia="仿宋_GB2312" w:cs="Times New Roman"/>
          <w:spacing w:val="20"/>
          <w:sz w:val="31"/>
          <w:szCs w:val="31"/>
        </w:rPr>
        <w:t>，支出决算为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万元，完成预算的   %；较</w:t>
      </w:r>
      <w:r>
        <w:rPr>
          <w:rFonts w:hint="default" w:ascii="Times New Roman" w:hAnsi="Times New Roman" w:eastAsia="仿宋_GB2312" w:cs="Times New Roman"/>
          <w:spacing w:val="-5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2022</w:t>
      </w:r>
      <w:r>
        <w:rPr>
          <w:rFonts w:hint="default" w:ascii="Times New Roman" w:hAnsi="Times New Roman" w:eastAsia="仿宋_GB2312" w:cs="Times New Roman"/>
          <w:spacing w:val="-6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年度增加（减少）</w:t>
      </w:r>
      <w:r>
        <w:rPr>
          <w:rFonts w:hint="default" w:ascii="Times New Roman" w:hAnsi="Times New Roman" w:eastAsia="仿宋_GB2312" w:cs="Times New Roman"/>
          <w:spacing w:val="7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增长（下降）</w:t>
      </w:r>
      <w:r>
        <w:rPr>
          <w:rFonts w:hint="default" w:ascii="Times New Roman" w:hAnsi="Times New Roman" w:eastAsia="仿宋_GB2312" w:cs="Times New Roman"/>
          <w:spacing w:val="7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%，主要原因……。决算数大（小）于预算数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9"/>
          <w:sz w:val="31"/>
          <w:szCs w:val="31"/>
        </w:rPr>
        <w:t>的主要原因</w:t>
      </w:r>
      <w:r>
        <w:rPr>
          <w:rFonts w:hint="default" w:ascii="Times New Roman" w:hAnsi="Times New Roman" w:eastAsia="仿宋_GB2312" w:cs="Times New Roman"/>
          <w:spacing w:val="-10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9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9"/>
          <w:sz w:val="31"/>
          <w:szCs w:val="31"/>
        </w:rPr>
        <w:t>…。其中：</w:t>
      </w:r>
    </w:p>
    <w:p w14:paraId="41E1CCC2">
      <w:pPr>
        <w:spacing w:before="49" w:line="221" w:lineRule="auto"/>
        <w:ind w:left="66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公务用车购置费支出   万元。主要是</w:t>
      </w:r>
      <w:r>
        <w:rPr>
          <w:rFonts w:hint="default" w:ascii="Times New Roman" w:hAnsi="Times New Roman" w:eastAsia="仿宋_GB2312" w:cs="Times New Roman"/>
          <w:spacing w:val="-10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…；截至 2023</w:t>
      </w:r>
    </w:p>
    <w:p w14:paraId="4F13BD0A">
      <w:pPr>
        <w:spacing w:before="253" w:line="221" w:lineRule="auto"/>
        <w:ind w:left="3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年 12 月 31 日，公务用车保有量为    辆,公务用车购置数</w:t>
      </w:r>
    </w:p>
    <w:p w14:paraId="2025E59C">
      <w:pPr>
        <w:spacing w:before="253" w:line="223" w:lineRule="auto"/>
        <w:ind w:left="3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-15"/>
          <w:sz w:val="31"/>
          <w:szCs w:val="31"/>
        </w:rPr>
        <w:t>为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 xml:space="preserve">   </w:t>
      </w:r>
      <w:r>
        <w:rPr>
          <w:rFonts w:hint="default" w:ascii="Times New Roman" w:hAnsi="Times New Roman" w:eastAsia="仿宋_GB2312" w:cs="Times New Roman"/>
          <w:spacing w:val="-15"/>
          <w:sz w:val="31"/>
          <w:szCs w:val="31"/>
        </w:rPr>
        <w:t>辆。</w:t>
      </w:r>
    </w:p>
    <w:p w14:paraId="000C76B7">
      <w:pPr>
        <w:spacing w:before="252" w:line="355" w:lineRule="auto"/>
        <w:ind w:left="41" w:right="157" w:firstLine="63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FF0000"/>
          <w:spacing w:val="8"/>
          <w:sz w:val="31"/>
          <w:szCs w:val="31"/>
        </w:rPr>
        <w:t>注：公务用车购置及保有量要说明，没有的也要分别填</w:t>
      </w:r>
      <w:r>
        <w:rPr>
          <w:rFonts w:hint="default" w:ascii="Times New Roman" w:hAnsi="Times New Roman" w:eastAsia="仿宋_GB2312" w:cs="Times New Roman"/>
          <w:color w:val="FF0000"/>
          <w:spacing w:val="1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color w:val="FF0000"/>
          <w:spacing w:val="5"/>
          <w:sz w:val="31"/>
          <w:szCs w:val="31"/>
        </w:rPr>
        <w:t>列</w:t>
      </w:r>
      <w:r>
        <w:rPr>
          <w:rFonts w:hint="default" w:ascii="Times New Roman" w:hAnsi="Times New Roman" w:eastAsia="仿宋_GB2312" w:cs="Times New Roman"/>
          <w:color w:val="FF0000"/>
          <w:spacing w:val="-5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color w:val="FF0000"/>
          <w:spacing w:val="5"/>
          <w:sz w:val="31"/>
          <w:szCs w:val="31"/>
        </w:rPr>
        <w:t>0</w:t>
      </w:r>
      <w:r>
        <w:rPr>
          <w:rFonts w:hint="default" w:ascii="Times New Roman" w:hAnsi="Times New Roman" w:eastAsia="仿宋_GB2312" w:cs="Times New Roman"/>
          <w:color w:val="FF0000"/>
          <w:spacing w:val="-6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color w:val="FF0000"/>
          <w:spacing w:val="5"/>
          <w:sz w:val="31"/>
          <w:szCs w:val="31"/>
        </w:rPr>
        <w:t>辆或附说明无公务用车和本年度未购置公务用</w:t>
      </w:r>
      <w:r>
        <w:rPr>
          <w:rFonts w:hint="default" w:ascii="Times New Roman" w:hAnsi="Times New Roman" w:eastAsia="仿宋_GB2312" w:cs="Times New Roman"/>
          <w:color w:val="FF0000"/>
          <w:spacing w:val="4"/>
          <w:sz w:val="31"/>
          <w:szCs w:val="31"/>
        </w:rPr>
        <w:t>车字样。</w:t>
      </w:r>
    </w:p>
    <w:p w14:paraId="0C7EF10C">
      <w:pPr>
        <w:spacing w:before="54" w:line="221" w:lineRule="auto"/>
        <w:ind w:left="66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公务用车运行维护费支出   万元，主要是</w:t>
      </w:r>
      <w:r>
        <w:rPr>
          <w:rFonts w:hint="default" w:ascii="Times New Roman" w:hAnsi="Times New Roman" w:eastAsia="仿宋_GB2312" w:cs="Times New Roman"/>
          <w:spacing w:val="-8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…。</w:t>
      </w:r>
    </w:p>
    <w:p w14:paraId="66D31654">
      <w:pPr>
        <w:spacing w:line="221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22" w:type="default"/>
          <w:pgSz w:w="11907" w:h="16839"/>
          <w:pgMar w:top="1431" w:right="1642" w:bottom="1153" w:left="1785" w:header="0" w:footer="965" w:gutter="0"/>
          <w:cols w:space="720" w:num="1"/>
        </w:sectPr>
      </w:pPr>
    </w:p>
    <w:p w14:paraId="3FD26591">
      <w:pPr>
        <w:spacing w:before="160" w:line="364" w:lineRule="auto"/>
        <w:ind w:left="21" w:right="3" w:firstLine="644"/>
        <w:jc w:val="both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公务接待费预算为  万元，支出决算为</w:t>
      </w:r>
      <w:r>
        <w:rPr>
          <w:rFonts w:hint="default" w:ascii="Times New Roman" w:hAnsi="Times New Roman" w:eastAsia="仿宋_GB2312" w:cs="Times New Roman"/>
          <w:spacing w:val="21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万元，完成预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7"/>
          <w:sz w:val="31"/>
          <w:szCs w:val="31"/>
        </w:rPr>
        <w:t>算的   %；较</w:t>
      </w:r>
      <w:r>
        <w:rPr>
          <w:rFonts w:hint="default" w:ascii="Times New Roman" w:hAnsi="Times New Roman" w:eastAsia="仿宋_GB2312" w:cs="Times New Roman"/>
          <w:spacing w:val="-5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7"/>
          <w:sz w:val="31"/>
          <w:szCs w:val="31"/>
        </w:rPr>
        <w:t>2022</w:t>
      </w:r>
      <w:r>
        <w:rPr>
          <w:rFonts w:hint="default" w:ascii="Times New Roman" w:hAnsi="Times New Roman" w:eastAsia="仿宋_GB2312" w:cs="Times New Roman"/>
          <w:spacing w:val="-5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7"/>
          <w:sz w:val="31"/>
          <w:szCs w:val="31"/>
        </w:rPr>
        <w:t>年度增加（减少）   万元，增长（下降）</w:t>
      </w:r>
      <w:r>
        <w:rPr>
          <w:rFonts w:hint="default" w:ascii="Times New Roman" w:hAnsi="Times New Roman" w:eastAsia="仿宋_GB2312" w:cs="Times New Roman"/>
          <w:spacing w:val="-7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7"/>
          <w:sz w:val="31"/>
          <w:szCs w:val="31"/>
        </w:rPr>
        <w:t>%，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5"/>
          <w:sz w:val="31"/>
          <w:szCs w:val="31"/>
        </w:rPr>
        <w:t>主要原因是</w:t>
      </w:r>
      <w:r>
        <w:rPr>
          <w:rFonts w:hint="default" w:ascii="Times New Roman" w:hAnsi="Times New Roman" w:eastAsia="仿宋_GB2312" w:cs="Times New Roman"/>
          <w:spacing w:val="-6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5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7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5"/>
          <w:sz w:val="31"/>
          <w:szCs w:val="31"/>
        </w:rPr>
        <w:t>…。决算数大（小）</w:t>
      </w:r>
      <w:r>
        <w:rPr>
          <w:rFonts w:hint="default" w:ascii="Times New Roman" w:hAnsi="Times New Roman" w:eastAsia="仿宋_GB2312" w:cs="Times New Roman"/>
          <w:spacing w:val="-6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5"/>
          <w:sz w:val="31"/>
          <w:szCs w:val="31"/>
        </w:rPr>
        <w:t>于预算数的主要原因</w:t>
      </w:r>
      <w:r>
        <w:rPr>
          <w:rFonts w:hint="default" w:ascii="Times New Roman" w:hAnsi="Times New Roman" w:eastAsia="仿宋_GB2312" w:cs="Times New Roman"/>
          <w:spacing w:val="-20"/>
          <w:sz w:val="31"/>
          <w:szCs w:val="31"/>
        </w:rPr>
        <w:t>是</w:t>
      </w:r>
      <w:r>
        <w:rPr>
          <w:rFonts w:hint="default" w:ascii="Times New Roman" w:hAnsi="Times New Roman" w:eastAsia="仿宋_GB2312" w:cs="Times New Roman"/>
          <w:spacing w:val="-9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20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20"/>
          <w:sz w:val="31"/>
          <w:szCs w:val="31"/>
        </w:rPr>
        <w:t>…。其中：</w:t>
      </w:r>
    </w:p>
    <w:p w14:paraId="2F0BF4B3">
      <w:pPr>
        <w:spacing w:before="52" w:line="361" w:lineRule="auto"/>
        <w:ind w:left="33" w:firstLine="649"/>
        <w:jc w:val="both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外事接待费支出  万元。主要用于……。全年共接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待外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事来访团组数  个、来访外宾   人次（不包括陪同人员）。</w:t>
      </w:r>
      <w:r>
        <w:rPr>
          <w:rFonts w:hint="default" w:ascii="Times New Roman" w:hAnsi="Times New Roman" w:eastAsia="仿宋_GB2312" w:cs="Times New Roman"/>
          <w:spacing w:val="1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3"/>
          <w:sz w:val="31"/>
          <w:szCs w:val="31"/>
        </w:rPr>
        <w:t>来访外宾主要包括</w:t>
      </w:r>
      <w:r>
        <w:rPr>
          <w:rFonts w:hint="default" w:ascii="Times New Roman" w:hAnsi="Times New Roman" w:eastAsia="仿宋_GB2312" w:cs="Times New Roman"/>
          <w:spacing w:val="-9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3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3"/>
          <w:sz w:val="31"/>
          <w:szCs w:val="31"/>
        </w:rPr>
        <w:t>…。</w:t>
      </w:r>
    </w:p>
    <w:p w14:paraId="478018EB">
      <w:pPr>
        <w:spacing w:before="53" w:line="362" w:lineRule="auto"/>
        <w:ind w:left="26" w:right="90" w:firstLine="640"/>
        <w:jc w:val="both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其他国内公务接待支出  万元。主要用于……。全年共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2"/>
          <w:sz w:val="31"/>
          <w:szCs w:val="31"/>
        </w:rPr>
        <w:t>接待国内来访团组</w:t>
      </w:r>
      <w:r>
        <w:rPr>
          <w:rFonts w:hint="default" w:ascii="Times New Roman" w:hAnsi="Times New Roman" w:eastAsia="仿宋_GB2312" w:cs="Times New Roman"/>
          <w:spacing w:val="3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2"/>
          <w:sz w:val="31"/>
          <w:szCs w:val="31"/>
        </w:rPr>
        <w:t>个、来宾</w:t>
      </w:r>
      <w:r>
        <w:rPr>
          <w:rFonts w:hint="default" w:ascii="Times New Roman" w:hAnsi="Times New Roman" w:eastAsia="仿宋_GB2312" w:cs="Times New Roman"/>
          <w:spacing w:val="3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2"/>
          <w:sz w:val="31"/>
          <w:szCs w:val="31"/>
        </w:rPr>
        <w:t>人次（不包括陪同人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员） 。</w:t>
      </w:r>
    </w:p>
    <w:p w14:paraId="2CEA485A">
      <w:pPr>
        <w:spacing w:before="47" w:line="355" w:lineRule="auto"/>
        <w:ind w:left="25" w:right="89" w:firstLine="64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FF0000"/>
          <w:spacing w:val="8"/>
          <w:sz w:val="31"/>
          <w:szCs w:val="31"/>
        </w:rPr>
        <w:t>注：要说明国内公务接待的批次和人数，没有的也要分</w:t>
      </w:r>
      <w:r>
        <w:rPr>
          <w:rFonts w:hint="default" w:ascii="Times New Roman" w:hAnsi="Times New Roman" w:eastAsia="仿宋_GB2312" w:cs="Times New Roman"/>
          <w:color w:val="FF0000"/>
          <w:spacing w:val="1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color w:val="FF0000"/>
          <w:spacing w:val="4"/>
          <w:sz w:val="31"/>
          <w:szCs w:val="31"/>
        </w:rPr>
        <w:t>别填列</w:t>
      </w:r>
      <w:r>
        <w:rPr>
          <w:rFonts w:hint="default" w:ascii="Times New Roman" w:hAnsi="Times New Roman" w:eastAsia="仿宋_GB2312" w:cs="Times New Roman"/>
          <w:color w:val="FF0000"/>
          <w:spacing w:val="-5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color w:val="FF0000"/>
          <w:spacing w:val="4"/>
          <w:sz w:val="31"/>
          <w:szCs w:val="31"/>
        </w:rPr>
        <w:t>0</w:t>
      </w:r>
      <w:r>
        <w:rPr>
          <w:rFonts w:hint="default" w:ascii="Times New Roman" w:hAnsi="Times New Roman" w:eastAsia="仿宋_GB2312" w:cs="Times New Roman"/>
          <w:color w:val="FF0000"/>
          <w:spacing w:val="-5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color w:val="FF0000"/>
          <w:spacing w:val="4"/>
          <w:sz w:val="31"/>
          <w:szCs w:val="31"/>
        </w:rPr>
        <w:t>个和</w:t>
      </w:r>
      <w:r>
        <w:rPr>
          <w:rFonts w:hint="default" w:ascii="Times New Roman" w:hAnsi="Times New Roman" w:eastAsia="仿宋_GB2312" w:cs="Times New Roman"/>
          <w:color w:val="FF0000"/>
          <w:spacing w:val="-5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color w:val="FF0000"/>
          <w:spacing w:val="4"/>
          <w:sz w:val="31"/>
          <w:szCs w:val="31"/>
        </w:rPr>
        <w:t>0</w:t>
      </w:r>
      <w:r>
        <w:rPr>
          <w:rFonts w:hint="default" w:ascii="Times New Roman" w:hAnsi="Times New Roman" w:eastAsia="仿宋_GB2312" w:cs="Times New Roman"/>
          <w:color w:val="FF0000"/>
          <w:spacing w:val="-6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color w:val="FF0000"/>
          <w:spacing w:val="4"/>
          <w:sz w:val="31"/>
          <w:szCs w:val="31"/>
        </w:rPr>
        <w:t>人或附说明无公务接待批次和人数字样。</w:t>
      </w:r>
    </w:p>
    <w:p w14:paraId="35C71875">
      <w:pPr>
        <w:pStyle w:val="2"/>
        <w:spacing w:line="287" w:lineRule="auto"/>
        <w:rPr>
          <w:rFonts w:hint="default" w:ascii="Times New Roman" w:hAnsi="Times New Roman" w:eastAsia="仿宋_GB2312" w:cs="Times New Roman"/>
        </w:rPr>
      </w:pPr>
    </w:p>
    <w:p w14:paraId="76C572C8">
      <w:pPr>
        <w:pStyle w:val="2"/>
        <w:spacing w:line="287" w:lineRule="auto"/>
        <w:rPr>
          <w:rFonts w:hint="default" w:ascii="Times New Roman" w:hAnsi="Times New Roman" w:eastAsia="仿宋_GB2312" w:cs="Times New Roman"/>
        </w:rPr>
      </w:pPr>
    </w:p>
    <w:p w14:paraId="27631EA0">
      <w:pPr>
        <w:spacing w:before="101" w:line="224" w:lineRule="auto"/>
        <w:ind w:left="750"/>
        <w:outlineLvl w:val="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十、关于</w:t>
      </w:r>
      <w:r>
        <w:rPr>
          <w:rFonts w:hint="default" w:ascii="Times New Roman" w:hAnsi="Times New Roman" w:eastAsia="仿宋_GB2312" w:cs="Times New Roman"/>
          <w:spacing w:val="-5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-6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年度绩效评价情况说明</w:t>
      </w:r>
    </w:p>
    <w:p w14:paraId="4F86DFD3">
      <w:pPr>
        <w:spacing w:before="249" w:line="353" w:lineRule="auto"/>
        <w:ind w:left="23" w:right="3" w:firstLine="63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（</w:t>
      </w:r>
      <w:r>
        <w:rPr>
          <w:rFonts w:hint="default" w:ascii="Times New Roman" w:hAnsi="Times New Roman" w:eastAsia="仿宋_GB2312" w:cs="Times New Roman"/>
          <w:spacing w:val="-5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一）绩效评价工作开展情况。绩效评价工作开展情况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说明为：根据预算绩效管理要求，本部门组织对 2023 年度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一般公共预算项目支出全面开展绩效自评，其中，一级项目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XX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 xml:space="preserve"> 个，二级项目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 xml:space="preserve"> 个，共涉及资金</w:t>
      </w:r>
      <w:r>
        <w:rPr>
          <w:rFonts w:hint="default" w:ascii="Times New Roman" w:hAnsi="Times New Roman" w:eastAsia="仿宋_GB2312" w:cs="Times New Roman"/>
          <w:spacing w:val="-2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 xml:space="preserve"> 万元，</w:t>
      </w:r>
      <w:r>
        <w:rPr>
          <w:rFonts w:hint="default" w:ascii="Times New Roman" w:hAnsi="Times New Roman" w:eastAsia="仿宋_GB2312" w:cs="Times New Roman"/>
          <w:spacing w:val="-7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占一般公共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预算项目支出总额的</w:t>
      </w:r>
      <w:r>
        <w:rPr>
          <w:rFonts w:hint="default" w:ascii="Times New Roman" w:hAnsi="Times New Roman" w:eastAsia="仿宋_GB2312" w:cs="Times New Roman"/>
          <w:spacing w:val="-6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%。组织对</w:t>
      </w:r>
      <w:r>
        <w:rPr>
          <w:rFonts w:hint="default" w:ascii="Times New Roman" w:hAnsi="Times New Roman" w:eastAsia="仿宋_GB2312" w:cs="Times New Roman"/>
          <w:spacing w:val="-5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-6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年度</w:t>
      </w:r>
      <w:r>
        <w:rPr>
          <w:rFonts w:hint="default" w:ascii="Times New Roman" w:hAnsi="Times New Roman" w:eastAsia="仿宋_GB2312" w:cs="Times New Roman"/>
          <w:spacing w:val="-6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XXX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、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XXX</w:t>
      </w:r>
      <w:r>
        <w:rPr>
          <w:rFonts w:hint="default" w:ascii="Times New Roman" w:hAnsi="Times New Roman" w:eastAsia="仿宋_GB2312" w:cs="Times New Roman"/>
          <w:spacing w:val="-4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等</w:t>
      </w:r>
      <w:r>
        <w:rPr>
          <w:rFonts w:hint="default" w:ascii="Times New Roman" w:hAnsi="Times New Roman" w:eastAsia="仿宋_GB2312" w:cs="Times New Roman"/>
          <w:spacing w:val="-6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XX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个政府性基金预算项目开展绩效自评，共涉及资金</w:t>
      </w:r>
      <w:r>
        <w:rPr>
          <w:rFonts w:hint="default" w:ascii="Times New Roman" w:hAnsi="Times New Roman" w:eastAsia="仿宋_GB2312" w:cs="Times New Roman"/>
          <w:spacing w:val="-4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4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 xml:space="preserve">占政府性基金预算项目支出总额的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%。组织对 2023 年度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XXX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、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XXX</w:t>
      </w:r>
      <w:r>
        <w:rPr>
          <w:rFonts w:hint="default" w:ascii="Times New Roman" w:hAnsi="Times New Roman" w:eastAsia="仿宋_GB2312" w:cs="Times New Roman"/>
          <w:spacing w:val="-2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等</w:t>
      </w:r>
      <w:r>
        <w:rPr>
          <w:rFonts w:hint="default" w:ascii="Times New Roman" w:hAnsi="Times New Roman" w:eastAsia="仿宋_GB2312" w:cs="Times New Roman"/>
          <w:spacing w:val="-4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3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个国有资本经营预算项目开展绩效自评，共</w:t>
      </w:r>
    </w:p>
    <w:p w14:paraId="19C3F406">
      <w:pPr>
        <w:spacing w:line="353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23" w:type="default"/>
          <w:pgSz w:w="11907" w:h="16839"/>
          <w:pgMar w:top="1431" w:right="1710" w:bottom="1153" w:left="1785" w:header="0" w:footer="965" w:gutter="0"/>
          <w:cols w:space="720" w:num="1"/>
        </w:sectPr>
      </w:pPr>
    </w:p>
    <w:p w14:paraId="72A4D62F">
      <w:pPr>
        <w:spacing w:before="159" w:line="223" w:lineRule="auto"/>
        <w:jc w:val="right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涉及资金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7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万元，占国有资本经营预算项目支出总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额的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%。</w:t>
      </w:r>
    </w:p>
    <w:p w14:paraId="4AA7036F">
      <w:pPr>
        <w:spacing w:before="252" w:line="364" w:lineRule="auto"/>
        <w:ind w:left="23" w:right="102" w:firstLine="648"/>
        <w:jc w:val="both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>组织对“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XXX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>”“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XXX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 xml:space="preserve">”等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 xml:space="preserve"> 个项目开展了部门绩效评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 xml:space="preserve">价，涉及一般公共预算支出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 xml:space="preserve"> 万元，政府性基金预算支出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4"/>
          <w:sz w:val="31"/>
          <w:szCs w:val="31"/>
        </w:rPr>
        <w:t xml:space="preserve"> 万元，国有资本经营预算支出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5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4"/>
          <w:sz w:val="31"/>
          <w:szCs w:val="31"/>
        </w:rPr>
        <w:t>万元。从评价情况来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看，</w:t>
      </w:r>
      <w:r>
        <w:rPr>
          <w:rFonts w:hint="default" w:ascii="Times New Roman" w:hAnsi="Times New Roman" w:eastAsia="仿宋_GB2312" w:cs="Times New Roman"/>
          <w:spacing w:val="-9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……</w:t>
      </w:r>
    </w:p>
    <w:p w14:paraId="4F4914B2">
      <w:pPr>
        <w:spacing w:before="49" w:line="221" w:lineRule="auto"/>
        <w:ind w:left="675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FF0000"/>
          <w:spacing w:val="8"/>
          <w:sz w:val="31"/>
          <w:szCs w:val="31"/>
        </w:rPr>
        <w:t>注：请对绩效评价情况进行简要说明。</w:t>
      </w:r>
    </w:p>
    <w:p w14:paraId="0BFC0DDB">
      <w:pPr>
        <w:spacing w:before="250" w:line="362" w:lineRule="auto"/>
        <w:ind w:left="33" w:right="106" w:firstLine="638"/>
        <w:jc w:val="both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组织对本部门开展整体支出绩效评价，涉及一般公共预</w:t>
      </w:r>
      <w:r>
        <w:rPr>
          <w:rFonts w:hint="default" w:ascii="Times New Roman" w:hAnsi="Times New Roman" w:eastAsia="仿宋_GB2312" w:cs="Times New Roman"/>
          <w:spacing w:val="1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算支出</w:t>
      </w:r>
      <w:r>
        <w:rPr>
          <w:rFonts w:hint="default" w:ascii="Times New Roman" w:hAnsi="Times New Roman" w:eastAsia="仿宋_GB2312" w:cs="Times New Roman"/>
          <w:spacing w:val="-6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4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万元，政府性基金预算支出</w:t>
      </w:r>
      <w:r>
        <w:rPr>
          <w:rFonts w:hint="default" w:ascii="Times New Roman" w:hAnsi="Times New Roman" w:eastAsia="仿宋_GB2312" w:cs="Times New Roman"/>
          <w:spacing w:val="-6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4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万元。从评价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情况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1"/>
          <w:sz w:val="31"/>
          <w:szCs w:val="31"/>
        </w:rPr>
        <w:t>来看，</w:t>
      </w:r>
      <w:r>
        <w:rPr>
          <w:rFonts w:hint="default" w:ascii="Times New Roman" w:hAnsi="Times New Roman" w:eastAsia="仿宋_GB2312" w:cs="Times New Roman"/>
          <w:spacing w:val="-8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1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1"/>
          <w:sz w:val="31"/>
          <w:szCs w:val="31"/>
        </w:rPr>
        <w:t>…</w:t>
      </w:r>
    </w:p>
    <w:p w14:paraId="382B7990">
      <w:pPr>
        <w:spacing w:before="51" w:line="221" w:lineRule="auto"/>
        <w:ind w:left="675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FF0000"/>
          <w:spacing w:val="8"/>
          <w:sz w:val="31"/>
          <w:szCs w:val="31"/>
        </w:rPr>
        <w:t>注：请对单位整体支出绩效评价情况进行简要说明。</w:t>
      </w:r>
    </w:p>
    <w:p w14:paraId="43AED580">
      <w:pPr>
        <w:spacing w:before="253" w:line="356" w:lineRule="auto"/>
        <w:ind w:left="36" w:right="22" w:firstLine="622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-4"/>
          <w:sz w:val="31"/>
          <w:szCs w:val="31"/>
        </w:rPr>
        <w:t>（二）</w:t>
      </w:r>
      <w:r>
        <w:rPr>
          <w:rFonts w:hint="default" w:ascii="Times New Roman" w:hAnsi="Times New Roman" w:eastAsia="仿宋_GB2312" w:cs="Times New Roman"/>
          <w:spacing w:val="-6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4"/>
          <w:sz w:val="31"/>
          <w:szCs w:val="31"/>
        </w:rPr>
        <w:t>项目绩效自评结果（如有）。除涉密敏感内容外，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省级部门原则上应予以公开。按照如下格式说明</w:t>
      </w:r>
      <w:r>
        <w:rPr>
          <w:rFonts w:hint="default" w:ascii="Times New Roman" w:hAnsi="Times New Roman" w:eastAsia="仿宋_GB2312" w:cs="Times New Roman"/>
          <w:spacing w:val="-8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:</w:t>
      </w:r>
    </w:p>
    <w:p w14:paraId="71A080FA">
      <w:pPr>
        <w:spacing w:before="49" w:line="366" w:lineRule="auto"/>
        <w:ind w:left="21" w:right="107" w:firstLine="64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z w:val="31"/>
          <w:szCs w:val="31"/>
        </w:rPr>
        <w:t>XXX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 xml:space="preserve"> 项目绩效自评情况：根据年初设定的绩效目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标，项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目绩效自评得分为</w:t>
      </w:r>
      <w:r>
        <w:rPr>
          <w:rFonts w:hint="default" w:ascii="Times New Roman" w:hAnsi="Times New Roman" w:eastAsia="仿宋_GB2312" w:cs="Times New Roman"/>
          <w:spacing w:val="-6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6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分。项目全年预算数为</w:t>
      </w:r>
      <w:r>
        <w:rPr>
          <w:rFonts w:hint="default" w:ascii="Times New Roman" w:hAnsi="Times New Roman" w:eastAsia="仿宋_GB2312" w:cs="Times New Roman"/>
          <w:spacing w:val="-6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4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万元，执行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数为</w:t>
      </w:r>
      <w:r>
        <w:rPr>
          <w:rFonts w:hint="default" w:ascii="Times New Roman" w:hAnsi="Times New Roman" w:eastAsia="仿宋_GB2312" w:cs="Times New Roman"/>
          <w:spacing w:val="-6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4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万元，完成预算的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%。项目绩效目标完成情况：一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是……；二是</w:t>
      </w:r>
      <w:r>
        <w:rPr>
          <w:rFonts w:hint="default" w:ascii="Times New Roman" w:hAnsi="Times New Roman" w:eastAsia="仿宋_GB2312" w:cs="Times New Roman"/>
          <w:spacing w:val="-8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2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。发现的主要问题及原因：一是</w:t>
      </w:r>
      <w:r>
        <w:rPr>
          <w:rFonts w:hint="default" w:ascii="Times New Roman" w:hAnsi="Times New Roman" w:eastAsia="仿宋_GB2312" w:cs="Times New Roman"/>
          <w:spacing w:val="-10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…；二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是……。下一步改进措施：一是……；二是</w:t>
      </w:r>
      <w:r>
        <w:rPr>
          <w:rFonts w:hint="default" w:ascii="Times New Roman" w:hAnsi="Times New Roman" w:eastAsia="仿宋_GB2312" w:cs="Times New Roman"/>
          <w:spacing w:val="-9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…。</w:t>
      </w:r>
    </w:p>
    <w:p w14:paraId="08EE0646">
      <w:pPr>
        <w:spacing w:before="49" w:line="224" w:lineRule="auto"/>
        <w:ind w:left="66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-3"/>
          <w:sz w:val="31"/>
          <w:szCs w:val="31"/>
        </w:rPr>
        <w:t>XXX</w:t>
      </w:r>
      <w:r>
        <w:rPr>
          <w:rFonts w:hint="default" w:ascii="Times New Roman" w:hAnsi="Times New Roman" w:eastAsia="仿宋_GB2312" w:cs="Times New Roman"/>
          <w:spacing w:val="-5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3"/>
          <w:sz w:val="31"/>
          <w:szCs w:val="31"/>
        </w:rPr>
        <w:t>项目绩效自评情况：</w:t>
      </w:r>
      <w:r>
        <w:rPr>
          <w:rFonts w:hint="default" w:ascii="Times New Roman" w:hAnsi="Times New Roman" w:eastAsia="仿宋_GB2312" w:cs="Times New Roman"/>
          <w:spacing w:val="-7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3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3"/>
          <w:sz w:val="31"/>
          <w:szCs w:val="31"/>
        </w:rPr>
        <w:t>…。</w:t>
      </w:r>
    </w:p>
    <w:p w14:paraId="1CBB39DD">
      <w:pPr>
        <w:spacing w:before="250" w:line="364" w:lineRule="auto"/>
        <w:ind w:left="34" w:firstLine="625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（三）</w:t>
      </w:r>
      <w:r>
        <w:rPr>
          <w:rFonts w:hint="default" w:ascii="Times New Roman" w:hAnsi="Times New Roman" w:eastAsia="仿宋_GB2312" w:cs="Times New Roman"/>
          <w:spacing w:val="-3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部门评价结果（如有）。除涉密敏感内容外，省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级部门原则上应将部门评价结果以报告的形式予以公开。报</w:t>
      </w:r>
      <w:r>
        <w:rPr>
          <w:rFonts w:hint="default" w:ascii="Times New Roman" w:hAnsi="Times New Roman" w:eastAsia="仿宋_GB2312" w:cs="Times New Roman"/>
          <w:spacing w:val="1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0"/>
          <w:sz w:val="31"/>
          <w:szCs w:val="31"/>
        </w:rPr>
        <w:t>告框架可参考《项目支出绩效评价管理办法》（吉财绩〔2022〕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711</w:t>
      </w:r>
      <w:r>
        <w:rPr>
          <w:rFonts w:hint="default" w:ascii="Times New Roman" w:hAnsi="Times New Roman" w:eastAsia="仿宋_GB2312" w:cs="Times New Roman"/>
          <w:spacing w:val="-3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号）中的《项目支出绩效评价报告（参考提纲）》。</w:t>
      </w:r>
    </w:p>
    <w:p w14:paraId="2691D9A4">
      <w:pPr>
        <w:spacing w:line="364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24" w:type="default"/>
          <w:pgSz w:w="11907" w:h="16839"/>
          <w:pgMar w:top="1431" w:right="1694" w:bottom="1153" w:left="1785" w:header="0" w:footer="965" w:gutter="0"/>
          <w:cols w:space="720" w:num="1"/>
        </w:sectPr>
      </w:pPr>
    </w:p>
    <w:p w14:paraId="6B19D58A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1A740136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0D6E42FE">
      <w:pPr>
        <w:spacing w:before="100" w:line="224" w:lineRule="auto"/>
        <w:ind w:left="67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十一、其他重要事项情况说明</w:t>
      </w:r>
    </w:p>
    <w:p w14:paraId="1EEB9B54">
      <w:pPr>
        <w:spacing w:before="248" w:line="222" w:lineRule="auto"/>
        <w:ind w:left="65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（</w:t>
      </w:r>
      <w:r>
        <w:rPr>
          <w:rFonts w:hint="default" w:ascii="Times New Roman" w:hAnsi="Times New Roman" w:eastAsia="仿宋_GB2312" w:cs="Times New Roman"/>
          <w:spacing w:val="-7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一）机关运行经费执行情况说明</w:t>
      </w:r>
    </w:p>
    <w:p w14:paraId="5430CBDE">
      <w:pPr>
        <w:spacing w:before="251" w:line="357" w:lineRule="auto"/>
        <w:ind w:left="19" w:right="170" w:firstLine="652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2023年度机关运行经费支出   万元，较2022年度增加</w:t>
      </w:r>
      <w:r>
        <w:rPr>
          <w:rFonts w:hint="default" w:ascii="Times New Roman" w:hAnsi="Times New Roman" w:eastAsia="仿宋_GB2312" w:cs="Times New Roman"/>
          <w:spacing w:val="1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4"/>
          <w:sz w:val="31"/>
          <w:szCs w:val="31"/>
        </w:rPr>
        <w:t>（减少）  万元，增长（降低）</w:t>
      </w:r>
      <w:r>
        <w:rPr>
          <w:rFonts w:hint="default" w:ascii="Times New Roman" w:hAnsi="Times New Roman" w:eastAsia="仿宋_GB2312" w:cs="Times New Roman"/>
          <w:spacing w:val="18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-4"/>
          <w:sz w:val="31"/>
          <w:szCs w:val="31"/>
        </w:rPr>
        <w:t>%，主要是</w:t>
      </w:r>
      <w:r>
        <w:rPr>
          <w:rFonts w:hint="default" w:ascii="Times New Roman" w:hAnsi="Times New Roman" w:eastAsia="仿宋_GB2312" w:cs="Times New Roman"/>
          <w:spacing w:val="-10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4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5"/>
          <w:sz w:val="31"/>
          <w:szCs w:val="31"/>
        </w:rPr>
        <w:t>…。</w:t>
      </w:r>
    </w:p>
    <w:p w14:paraId="45F619DC">
      <w:pPr>
        <w:spacing w:before="48" w:line="224" w:lineRule="auto"/>
        <w:ind w:left="65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（二）政府采购支出情况说明</w:t>
      </w:r>
    </w:p>
    <w:p w14:paraId="73D1EE52">
      <w:pPr>
        <w:spacing w:before="249" w:line="368" w:lineRule="auto"/>
        <w:ind w:left="29" w:right="24" w:firstLine="64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2023 年度政府采购支出总额 万元，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其中：政府采购货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物支出  万元、政府采购工程支出</w:t>
      </w:r>
      <w:r>
        <w:rPr>
          <w:rFonts w:hint="default" w:ascii="Times New Roman" w:hAnsi="Times New Roman" w:eastAsia="仿宋_GB2312" w:cs="Times New Roman"/>
          <w:spacing w:val="23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万元、政府采购服务支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出  万元。授予中小企业合同金额</w:t>
      </w:r>
      <w:r>
        <w:rPr>
          <w:rFonts w:hint="default" w:ascii="Times New Roman" w:hAnsi="Times New Roman" w:eastAsia="仿宋_GB2312" w:cs="Times New Roman"/>
          <w:spacing w:val="27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-8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占政府采购支出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总额的 %，其中：授予小微企业合同金额  万元，</w:t>
      </w:r>
      <w:r>
        <w:rPr>
          <w:rFonts w:hint="default" w:ascii="Times New Roman" w:hAnsi="Times New Roman" w:eastAsia="仿宋_GB2312" w:cs="Times New Roman"/>
          <w:spacing w:val="-6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占授予中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小企业合同金额的 %；货物采购授予中小企业合同金额占货</w:t>
      </w:r>
      <w:r>
        <w:rPr>
          <w:rFonts w:hint="default" w:ascii="Times New Roman" w:hAnsi="Times New Roman" w:eastAsia="仿宋_GB2312" w:cs="Times New Roman"/>
          <w:spacing w:val="1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物支出金额的 %，工程采购授予中小企业合同金额占工程支</w:t>
      </w:r>
      <w:r>
        <w:rPr>
          <w:rFonts w:hint="default" w:ascii="Times New Roman" w:hAnsi="Times New Roman" w:eastAsia="仿宋_GB2312" w:cs="Times New Roman"/>
          <w:spacing w:val="1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出金额的 %，服务采购授予中小企业合同金额占服务支出金</w:t>
      </w:r>
      <w:r>
        <w:rPr>
          <w:rFonts w:hint="default" w:ascii="Times New Roman" w:hAnsi="Times New Roman" w:eastAsia="仿宋_GB2312" w:cs="Times New Roman"/>
          <w:spacing w:val="1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额的 %。</w:t>
      </w:r>
    </w:p>
    <w:p w14:paraId="6CF1D089">
      <w:pPr>
        <w:spacing w:before="48" w:line="224" w:lineRule="auto"/>
        <w:ind w:left="65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（三）国有资产占用情况说明</w:t>
      </w:r>
    </w:p>
    <w:p w14:paraId="118493A5">
      <w:pPr>
        <w:spacing w:before="286" w:line="340" w:lineRule="auto"/>
        <w:ind w:left="21" w:firstLine="65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z w:val="31"/>
          <w:szCs w:val="31"/>
        </w:rPr>
        <w:t>截至</w:t>
      </w:r>
      <w:r>
        <w:rPr>
          <w:rFonts w:hint="default" w:ascii="Times New Roman" w:hAnsi="Times New Roman" w:eastAsia="仿宋_GB2312" w:cs="Times New Roman"/>
          <w:spacing w:val="-3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-3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年 12 月</w:t>
      </w:r>
      <w:r>
        <w:rPr>
          <w:rFonts w:hint="default" w:ascii="Times New Roman" w:hAnsi="Times New Roman" w:eastAsia="仿宋_GB2312" w:cs="Times New Roman"/>
          <w:spacing w:val="-3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31 日，XXXX（部门标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准名称）共有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 xml:space="preserve">车辆  辆，其中，副部（省）级及以上领导用车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 xml:space="preserve"> 辆、主</w:t>
      </w:r>
      <w:r>
        <w:rPr>
          <w:rFonts w:hint="default" w:ascii="Times New Roman" w:hAnsi="Times New Roman" w:eastAsia="仿宋_GB2312" w:cs="Times New Roman"/>
          <w:spacing w:val="1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要负责人用车</w:t>
      </w:r>
      <w:r>
        <w:rPr>
          <w:rFonts w:hint="default" w:ascii="Times New Roman" w:hAnsi="Times New Roman" w:eastAsia="仿宋_GB2312" w:cs="Times New Roman"/>
          <w:spacing w:val="-5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6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辆、机要通信用车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6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辆、应急保障用车</w:t>
      </w:r>
      <w:r>
        <w:rPr>
          <w:rFonts w:hint="default" w:ascii="Times New Roman" w:hAnsi="Times New Roman" w:eastAsia="仿宋_GB2312" w:cs="Times New Roman"/>
          <w:spacing w:val="-6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XX </w:t>
      </w:r>
      <w:r>
        <w:rPr>
          <w:rFonts w:hint="default" w:ascii="Times New Roman" w:hAnsi="Times New Roman" w:eastAsia="仿宋_GB2312" w:cs="Times New Roman"/>
          <w:spacing w:val="12"/>
          <w:sz w:val="31"/>
          <w:szCs w:val="31"/>
        </w:rPr>
        <w:t>辆、执法执勤用车</w:t>
      </w:r>
      <w:r>
        <w:rPr>
          <w:rFonts w:hint="default" w:ascii="Times New Roman" w:hAnsi="Times New Roman" w:eastAsia="仿宋_GB2312" w:cs="Times New Roman"/>
          <w:spacing w:val="-6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6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2"/>
          <w:sz w:val="31"/>
          <w:szCs w:val="31"/>
        </w:rPr>
        <w:t>辆、特种专业技术用车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6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2"/>
          <w:sz w:val="31"/>
          <w:szCs w:val="31"/>
        </w:rPr>
        <w:t>辆</w:t>
      </w:r>
      <w:r>
        <w:rPr>
          <w:rFonts w:hint="default" w:ascii="Times New Roman" w:hAnsi="Times New Roman" w:eastAsia="仿宋_GB2312" w:cs="Times New Roman"/>
          <w:spacing w:val="11"/>
          <w:sz w:val="31"/>
          <w:szCs w:val="31"/>
        </w:rPr>
        <w:t>、离退休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干部用车</w:t>
      </w:r>
      <w:r>
        <w:rPr>
          <w:rFonts w:hint="default" w:ascii="Times New Roman" w:hAnsi="Times New Roman" w:eastAsia="仿宋_GB2312" w:cs="Times New Roman"/>
          <w:spacing w:val="-6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6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辆、其他用车</w:t>
      </w:r>
      <w:r>
        <w:rPr>
          <w:rFonts w:hint="default" w:ascii="Times New Roman" w:hAnsi="Times New Roman" w:eastAsia="仿宋_GB2312" w:cs="Times New Roman"/>
          <w:spacing w:val="-6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6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辆，其他用车主要是……；单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位价值</w:t>
      </w:r>
      <w:r>
        <w:rPr>
          <w:rFonts w:hint="default" w:ascii="Times New Roman" w:hAnsi="Times New Roman" w:eastAsia="仿宋_GB2312" w:cs="Times New Roman"/>
          <w:spacing w:val="-2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100</w:t>
      </w:r>
      <w:r>
        <w:rPr>
          <w:rFonts w:hint="default" w:ascii="Times New Roman" w:hAnsi="Times New Roman" w:eastAsia="仿宋_GB2312" w:cs="Times New Roman"/>
          <w:spacing w:val="-4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万元（含）以上设备（不含车辆）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2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台（套）。</w:t>
      </w:r>
    </w:p>
    <w:p w14:paraId="6168EDC3">
      <w:pPr>
        <w:spacing w:line="340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25" w:type="default"/>
          <w:pgSz w:w="11907" w:h="16839"/>
          <w:pgMar w:top="1431" w:right="1774" w:bottom="1153" w:left="1785" w:header="0" w:footer="965" w:gutter="0"/>
          <w:cols w:space="720" w:num="1"/>
        </w:sectPr>
      </w:pPr>
    </w:p>
    <w:p w14:paraId="571F6390">
      <w:pPr>
        <w:spacing w:before="225" w:line="443" w:lineRule="exact"/>
        <w:ind w:left="2186"/>
        <w:outlineLvl w:val="0"/>
        <w:rPr>
          <w:rFonts w:hint="default" w:ascii="Times New Roman" w:hAnsi="Times New Roman" w:eastAsia="仿宋_GB2312" w:cs="Times New Roman"/>
          <w:sz w:val="44"/>
          <w:szCs w:val="44"/>
        </w:rPr>
      </w:pPr>
      <w:r>
        <w:rPr>
          <w:rFonts w:hint="default" w:ascii="Times New Roman" w:hAnsi="Times New Roman" w:eastAsia="仿宋_GB2312" w:cs="Times New Roman"/>
          <w:spacing w:val="-4"/>
          <w:position w:val="-2"/>
          <w:sz w:val="44"/>
          <w:szCs w:val="44"/>
        </w:rPr>
        <w:t>第四部分</w:t>
      </w:r>
      <w:r>
        <w:rPr>
          <w:rFonts w:hint="default" w:ascii="Times New Roman" w:hAnsi="Times New Roman" w:eastAsia="仿宋_GB2312" w:cs="Times New Roman"/>
          <w:spacing w:val="24"/>
          <w:position w:val="-2"/>
          <w:sz w:val="44"/>
          <w:szCs w:val="44"/>
        </w:rPr>
        <w:t xml:space="preserve">   </w:t>
      </w:r>
      <w:r>
        <w:rPr>
          <w:rFonts w:hint="default" w:ascii="Times New Roman" w:hAnsi="Times New Roman" w:eastAsia="仿宋_GB2312" w:cs="Times New Roman"/>
          <w:spacing w:val="-4"/>
          <w:position w:val="-2"/>
          <w:sz w:val="44"/>
          <w:szCs w:val="44"/>
        </w:rPr>
        <w:t>名词解释</w:t>
      </w:r>
    </w:p>
    <w:p w14:paraId="3497951C">
      <w:pPr>
        <w:pStyle w:val="2"/>
        <w:spacing w:line="315" w:lineRule="auto"/>
        <w:rPr>
          <w:rFonts w:hint="default" w:ascii="Times New Roman" w:hAnsi="Times New Roman" w:eastAsia="仿宋_GB2312" w:cs="Times New Roman"/>
        </w:rPr>
      </w:pPr>
    </w:p>
    <w:p w14:paraId="7C307113">
      <w:pPr>
        <w:pStyle w:val="2"/>
        <w:spacing w:line="315" w:lineRule="auto"/>
        <w:rPr>
          <w:rFonts w:hint="default" w:ascii="Times New Roman" w:hAnsi="Times New Roman" w:eastAsia="仿宋_GB2312" w:cs="Times New Roman"/>
        </w:rPr>
      </w:pPr>
    </w:p>
    <w:p w14:paraId="4578906A">
      <w:pPr>
        <w:pStyle w:val="2"/>
        <w:spacing w:line="315" w:lineRule="auto"/>
        <w:rPr>
          <w:rFonts w:hint="default" w:ascii="Times New Roman" w:hAnsi="Times New Roman" w:eastAsia="仿宋_GB2312" w:cs="Times New Roman"/>
        </w:rPr>
      </w:pPr>
    </w:p>
    <w:p w14:paraId="548452E7">
      <w:pPr>
        <w:spacing w:before="100" w:line="297" w:lineRule="auto"/>
        <w:ind w:left="39" w:right="13" w:firstLine="65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6"/>
          <w:sz w:val="31"/>
          <w:szCs w:val="31"/>
        </w:rPr>
        <w:t>一、财政拨款收入：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指单位从同级财政部门取得的财政</w:t>
      </w:r>
      <w:r>
        <w:rPr>
          <w:rFonts w:hint="default" w:ascii="Times New Roman" w:hAnsi="Times New Roman" w:eastAsia="仿宋_GB2312" w:cs="Times New Roman"/>
          <w:spacing w:val="1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预算资金。</w:t>
      </w:r>
    </w:p>
    <w:p w14:paraId="3E7ADED3">
      <w:pPr>
        <w:spacing w:before="250" w:line="297" w:lineRule="auto"/>
        <w:ind w:left="30" w:right="13" w:firstLine="65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6"/>
          <w:sz w:val="31"/>
          <w:szCs w:val="31"/>
        </w:rPr>
        <w:t>二、上级补助收入：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指从主管部门和上级单位取得的非</w:t>
      </w:r>
      <w:r>
        <w:rPr>
          <w:rFonts w:hint="default" w:ascii="Times New Roman" w:hAnsi="Times New Roman" w:eastAsia="仿宋_GB2312" w:cs="Times New Roman"/>
          <w:spacing w:val="1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财政补助收入。</w:t>
      </w:r>
    </w:p>
    <w:p w14:paraId="28E60D2B">
      <w:pPr>
        <w:spacing w:before="249" w:line="298" w:lineRule="auto"/>
        <w:ind w:left="44" w:right="18" w:firstLine="649"/>
        <w:outlineLvl w:val="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4"/>
          <w:sz w:val="31"/>
          <w:szCs w:val="31"/>
        </w:rPr>
        <w:t>三、事业收入：指事业单位开展专业业务活动及辅助活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-6"/>
          <w:sz w:val="31"/>
          <w:szCs w:val="31"/>
        </w:rPr>
        <w:t>动取得的收入。</w:t>
      </w:r>
    </w:p>
    <w:p w14:paraId="2126BB1C">
      <w:pPr>
        <w:spacing w:before="249" w:line="297" w:lineRule="auto"/>
        <w:ind w:left="44" w:right="16" w:firstLine="662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6"/>
          <w:sz w:val="31"/>
          <w:szCs w:val="31"/>
        </w:rPr>
        <w:t>四、经营收入：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指事业单位在专业业务活动及其辅助活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动之外开展非独立核算经营活动取得的收入。</w:t>
      </w:r>
    </w:p>
    <w:p w14:paraId="13F3479F">
      <w:pPr>
        <w:spacing w:before="249" w:line="298" w:lineRule="auto"/>
        <w:ind w:left="28" w:right="13" w:firstLine="65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6"/>
          <w:sz w:val="31"/>
          <w:szCs w:val="31"/>
        </w:rPr>
        <w:t>五、附属单位上缴收入：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指事业单位附属独立核算单位</w:t>
      </w:r>
      <w:r>
        <w:rPr>
          <w:rFonts w:hint="default" w:ascii="Times New Roman" w:hAnsi="Times New Roman" w:eastAsia="仿宋_GB2312" w:cs="Times New Roman"/>
          <w:spacing w:val="1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按照有关规定上缴的收入。</w:t>
      </w:r>
    </w:p>
    <w:p w14:paraId="430D1A9C">
      <w:pPr>
        <w:spacing w:before="246" w:line="347" w:lineRule="auto"/>
        <w:ind w:left="29" w:right="14" w:firstLine="65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六、其他收入：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指除上述收入以外的各项收入。包括未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纳入财政预算或财政专户管理的投资收益、银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行存款利息收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入、租金收入、捐赠收入，现金盘盈收入、存货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盘盈收入、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收回已核销应收及预付款项、无法偿付的应付及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预收款项，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从省财政以外的同级单位取得的经费、从非省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财政取得的经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费，以及行政单位收到的财政专户管理资金等。</w:t>
      </w:r>
    </w:p>
    <w:p w14:paraId="2BA172AF">
      <w:pPr>
        <w:spacing w:before="252" w:line="322" w:lineRule="auto"/>
        <w:ind w:left="28" w:right="10" w:firstLine="64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5"/>
          <w:sz w:val="31"/>
          <w:szCs w:val="31"/>
        </w:rPr>
        <w:t>七、使用非财政拨款结余（含专用结余</w:t>
      </w:r>
      <w:r>
        <w:rPr>
          <w:rFonts w:hint="default" w:ascii="Times New Roman" w:hAnsi="Times New Roman" w:eastAsia="仿宋_GB2312" w:cs="Times New Roman"/>
          <w:b/>
          <w:bCs/>
          <w:spacing w:val="16"/>
          <w:sz w:val="31"/>
          <w:szCs w:val="31"/>
        </w:rPr>
        <w:t>）：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指事业单位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1"/>
          <w:sz w:val="31"/>
          <w:szCs w:val="31"/>
        </w:rPr>
        <w:t>按照预算管理要求使用非财政拨款结余弥补收支差额的金</w:t>
      </w:r>
      <w:r>
        <w:rPr>
          <w:rFonts w:hint="default" w:ascii="Times New Roman" w:hAnsi="Times New Roman" w:eastAsia="仿宋_GB2312" w:cs="Times New Roman"/>
          <w:spacing w:val="1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额，以及使用专用结余安排支出的金额。</w:t>
      </w:r>
    </w:p>
    <w:p w14:paraId="08F2AE28">
      <w:pPr>
        <w:spacing w:before="249" w:line="220" w:lineRule="auto"/>
        <w:ind w:right="13"/>
        <w:jc w:val="right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八、年初结转和结余：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指单位以前年度尚未完成、结转</w:t>
      </w:r>
    </w:p>
    <w:p w14:paraId="080A857D">
      <w:pPr>
        <w:spacing w:line="220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26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500C15F4">
      <w:pPr>
        <w:spacing w:before="160" w:line="357" w:lineRule="auto"/>
        <w:ind w:left="46" w:right="189" w:hanging="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到本年按有关规定用途继续使用的资金，或项目已完成等产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3"/>
          <w:sz w:val="31"/>
          <w:szCs w:val="31"/>
        </w:rPr>
        <w:t>生的结余资金。</w:t>
      </w:r>
    </w:p>
    <w:p w14:paraId="7F717CA1">
      <w:pPr>
        <w:spacing w:before="48" w:line="355" w:lineRule="auto"/>
        <w:ind w:left="32" w:right="155" w:firstLine="64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九、结余分配：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指事业单位按照会计制度规定缴纳的所</w:t>
      </w:r>
      <w:r>
        <w:rPr>
          <w:rFonts w:hint="default" w:ascii="Times New Roman" w:hAnsi="Times New Roman" w:eastAsia="仿宋_GB2312" w:cs="Times New Roman"/>
          <w:spacing w:val="1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得税、提取的专用结余以及转入非财政拨款结余的金额等。</w:t>
      </w:r>
    </w:p>
    <w:p w14:paraId="36078E5B">
      <w:pPr>
        <w:spacing w:before="54" w:line="364" w:lineRule="auto"/>
        <w:ind w:left="29" w:right="153" w:firstLine="65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十、年末结转和结余：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指单位按有关规定结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转到下年或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1"/>
          <w:sz w:val="31"/>
          <w:szCs w:val="31"/>
        </w:rPr>
        <w:t>以后年度继续使用的资金，或项目已完成等产生的结余资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6"/>
          <w:sz w:val="31"/>
          <w:szCs w:val="31"/>
        </w:rPr>
        <w:t>金。</w:t>
      </w:r>
    </w:p>
    <w:p w14:paraId="3D41E0EC">
      <w:pPr>
        <w:spacing w:before="39" w:line="297" w:lineRule="auto"/>
        <w:ind w:left="30" w:right="153" w:firstLine="65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十一、基本支出：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指为保障机构正常运转、完成日常工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作任务而发生的人员支出和公用支出。</w:t>
      </w:r>
    </w:p>
    <w:p w14:paraId="57A65D69">
      <w:pPr>
        <w:spacing w:before="250" w:line="298" w:lineRule="auto"/>
        <w:ind w:left="33" w:right="154" w:firstLine="65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十二、项目支出：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指在基本支出之外为完成特定行政任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务或事业发展目标所发生的支出。</w:t>
      </w:r>
    </w:p>
    <w:p w14:paraId="6BAB99A2">
      <w:pPr>
        <w:spacing w:before="249" w:line="297" w:lineRule="auto"/>
        <w:ind w:left="44" w:right="155" w:firstLine="63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十三、经营支出：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指事业单位在专业业务活动及其辅助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活动之外开展非独立核算经营活动发生的支出。</w:t>
      </w:r>
    </w:p>
    <w:p w14:paraId="719D3962">
      <w:pPr>
        <w:spacing w:before="249" w:line="297" w:lineRule="auto"/>
        <w:ind w:left="40" w:right="153" w:firstLine="64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十四、上缴上级支出：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指事业单位按照有关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规定上缴上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2"/>
          <w:sz w:val="31"/>
          <w:szCs w:val="31"/>
        </w:rPr>
        <w:t>级单位的支出。</w:t>
      </w:r>
    </w:p>
    <w:p w14:paraId="6364353C">
      <w:pPr>
        <w:spacing w:before="251" w:line="297" w:lineRule="auto"/>
        <w:ind w:left="29" w:right="152" w:firstLine="65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6"/>
          <w:sz w:val="31"/>
          <w:szCs w:val="31"/>
        </w:rPr>
        <w:t>十五、对附属单位补助支出：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指事业单位用财政补助收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入之外的收入对附属单位补助发生的支出。</w:t>
      </w:r>
    </w:p>
    <w:p w14:paraId="34E86308">
      <w:pPr>
        <w:spacing w:before="252" w:line="342" w:lineRule="auto"/>
        <w:ind w:left="25" w:firstLine="658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十六、“三公”经费：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纳入省级财政预决算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管理的“三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公”经费，是指省级部门用财政拨款安排的因公出国（境）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费、公务用车购置及运行维护费和公务接待费。是党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政机关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维持运转或完成特定工作任务所开支的相关支出，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是政府行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-12"/>
          <w:sz w:val="31"/>
          <w:szCs w:val="31"/>
        </w:rPr>
        <w:t>政开支的一部分。其中，</w:t>
      </w:r>
      <w:r>
        <w:rPr>
          <w:rFonts w:hint="default" w:ascii="Times New Roman" w:hAnsi="Times New Roman" w:eastAsia="仿宋_GB2312" w:cs="Times New Roman"/>
          <w:spacing w:val="-4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2"/>
          <w:sz w:val="31"/>
          <w:szCs w:val="31"/>
        </w:rPr>
        <w:t>因公出国（境）费反映公</w:t>
      </w:r>
      <w:r>
        <w:rPr>
          <w:rFonts w:hint="default" w:ascii="Times New Roman" w:hAnsi="Times New Roman" w:eastAsia="仿宋_GB2312" w:cs="Times New Roman"/>
          <w:spacing w:val="-13"/>
          <w:sz w:val="31"/>
          <w:szCs w:val="31"/>
        </w:rPr>
        <w:t>务出国（境）</w:t>
      </w:r>
    </w:p>
    <w:p w14:paraId="56AA1AED">
      <w:pPr>
        <w:spacing w:line="342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27" w:type="default"/>
          <w:pgSz w:w="11907" w:h="16839"/>
          <w:pgMar w:top="1431" w:right="1646" w:bottom="1153" w:left="1785" w:header="0" w:footer="965" w:gutter="0"/>
          <w:cols w:space="720" w:num="1"/>
        </w:sectPr>
      </w:pPr>
    </w:p>
    <w:p w14:paraId="51C27131">
      <w:pPr>
        <w:spacing w:before="155" w:line="366" w:lineRule="auto"/>
        <w:ind w:left="25" w:firstLine="28"/>
        <w:jc w:val="both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的国际旅费、国外城市间交通费、住宿费、伙食费、培训费、</w:t>
      </w:r>
      <w:r>
        <w:rPr>
          <w:rFonts w:hint="default" w:ascii="Times New Roman" w:hAnsi="Times New Roman" w:eastAsia="仿宋_GB2312" w:cs="Times New Roman"/>
          <w:spacing w:val="1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公杂费等支出；公务用车购置及运行费反映单位公务用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车车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辆购置支出（含车辆购置税）及燃料费、维修费、过桥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过路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费、保险费、安全奖励费等支出；公务接待费反映单位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按规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定开支的各类公务接待（含外宾接待）支出。</w:t>
      </w:r>
    </w:p>
    <w:p w14:paraId="32985CEB">
      <w:pPr>
        <w:spacing w:before="48" w:line="347" w:lineRule="auto"/>
        <w:ind w:left="26" w:right="93" w:firstLine="65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十七、机关运行经费：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指为保障行政单位（包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括参照公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务员法管理的事业单位）运行用于购买货物和服务的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各项资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金，包括办公费、</w:t>
      </w:r>
      <w:r>
        <w:rPr>
          <w:rFonts w:hint="default" w:ascii="Times New Roman" w:hAnsi="Times New Roman" w:eastAsia="仿宋_GB2312" w:cs="Times New Roman"/>
          <w:spacing w:val="-8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印刷费、邮电费、差旅费、会议费、福利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费、日常维修费、专用材料及一般设备购置费、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办公用房水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电费、办公用房取暖费、办公用房物业管理费、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公务用车运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行维护费以及其他费用。</w:t>
      </w:r>
    </w:p>
    <w:p w14:paraId="47600C46">
      <w:pPr>
        <w:spacing w:before="250" w:line="322" w:lineRule="auto"/>
        <w:ind w:left="43" w:right="93" w:firstLine="64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6"/>
          <w:sz w:val="31"/>
          <w:szCs w:val="31"/>
        </w:rPr>
        <w:t>十八、******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（对部门使用的所有“项”级政府收支分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类科目，参照《2023年政府收支分类科目》中的科目说明和</w:t>
      </w:r>
      <w:r>
        <w:rPr>
          <w:rFonts w:hint="default" w:ascii="Times New Roman" w:hAnsi="Times New Roman" w:eastAsia="仿宋_GB2312" w:cs="Times New Roman"/>
          <w:spacing w:val="1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中央部门决算公开内容进行说明</w:t>
      </w:r>
      <w:r>
        <w:rPr>
          <w:rFonts w:hint="default" w:ascii="Times New Roman" w:hAnsi="Times New Roman" w:eastAsia="仿宋_GB2312" w:cs="Times New Roman"/>
          <w:spacing w:val="19"/>
          <w:sz w:val="31"/>
          <w:szCs w:val="31"/>
        </w:rPr>
        <w:t>）：</w:t>
      </w:r>
    </w:p>
    <w:p w14:paraId="652AF0EE">
      <w:pPr>
        <w:spacing w:before="250" w:line="224" w:lineRule="auto"/>
        <w:ind w:left="68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-8"/>
          <w:sz w:val="31"/>
          <w:szCs w:val="31"/>
        </w:rPr>
        <w:t>十九、</w:t>
      </w:r>
      <w:r>
        <w:rPr>
          <w:rFonts w:hint="default" w:ascii="Times New Roman" w:hAnsi="Times New Roman" w:eastAsia="仿宋_GB2312" w:cs="Times New Roman"/>
          <w:spacing w:val="-8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8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8"/>
          <w:sz w:val="31"/>
          <w:szCs w:val="31"/>
        </w:rPr>
        <w:t>…（同上）</w:t>
      </w:r>
    </w:p>
    <w:p w14:paraId="0549807A">
      <w:pPr>
        <w:spacing w:before="249" w:line="355" w:lineRule="auto"/>
        <w:ind w:left="26" w:right="98" w:firstLine="648"/>
        <w:rPr>
          <w:rFonts w:hint="default" w:ascii="Times New Roman" w:hAnsi="Times New Roman" w:eastAsia="仿宋_GB2312" w:cs="Times New Roman"/>
          <w:color w:val="FF0000"/>
          <w:spacing w:val="5"/>
          <w:sz w:val="31"/>
          <w:szCs w:val="31"/>
        </w:rPr>
      </w:pPr>
    </w:p>
    <w:sectPr>
      <w:footerReference r:id="rId28" w:type="default"/>
      <w:pgSz w:w="11907" w:h="16839"/>
      <w:pgMar w:top="1431" w:right="1705" w:bottom="1153" w:left="1785" w:header="0" w:footer="96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B96E4B">
    <w:pPr>
      <w:spacing w:line="177" w:lineRule="auto"/>
      <w:ind w:left="413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z w:val="21"/>
        <w:szCs w:val="21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4432AD">
    <w:pPr>
      <w:spacing w:line="176" w:lineRule="auto"/>
      <w:ind w:left="408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6"/>
        <w:sz w:val="21"/>
        <w:szCs w:val="21"/>
      </w:rPr>
      <w:t>10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AE91A0">
    <w:pPr>
      <w:spacing w:line="177" w:lineRule="auto"/>
      <w:ind w:left="4090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8"/>
        <w:sz w:val="21"/>
        <w:szCs w:val="21"/>
      </w:rPr>
      <w:t>11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DC9361">
    <w:pPr>
      <w:spacing w:line="177" w:lineRule="auto"/>
      <w:ind w:left="408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6"/>
        <w:sz w:val="21"/>
        <w:szCs w:val="21"/>
      </w:rPr>
      <w:t>12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9F204B">
    <w:pPr>
      <w:spacing w:line="176" w:lineRule="auto"/>
      <w:ind w:left="408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6"/>
        <w:sz w:val="21"/>
        <w:szCs w:val="21"/>
      </w:rPr>
      <w:t>13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0A72E3">
    <w:pPr>
      <w:spacing w:line="177" w:lineRule="auto"/>
      <w:ind w:left="408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6"/>
        <w:sz w:val="21"/>
        <w:szCs w:val="21"/>
      </w:rPr>
      <w:t>14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93F0B9">
    <w:pPr>
      <w:spacing w:line="176" w:lineRule="auto"/>
      <w:ind w:left="408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6"/>
        <w:sz w:val="21"/>
        <w:szCs w:val="21"/>
      </w:rPr>
      <w:t>18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72E68B">
    <w:pPr>
      <w:spacing w:line="176" w:lineRule="auto"/>
      <w:ind w:left="408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6"/>
        <w:sz w:val="21"/>
        <w:szCs w:val="21"/>
      </w:rPr>
      <w:t>19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126CF4">
    <w:pPr>
      <w:spacing w:line="176" w:lineRule="auto"/>
      <w:ind w:left="406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1"/>
        <w:sz w:val="21"/>
        <w:szCs w:val="21"/>
      </w:rPr>
      <w:t>20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3D945C">
    <w:pPr>
      <w:spacing w:line="177" w:lineRule="auto"/>
      <w:ind w:left="406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1"/>
        <w:sz w:val="21"/>
        <w:szCs w:val="21"/>
      </w:rPr>
      <w:t>21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98B88A">
    <w:pPr>
      <w:spacing w:line="177" w:lineRule="auto"/>
      <w:ind w:left="406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1"/>
        <w:sz w:val="21"/>
        <w:szCs w:val="21"/>
      </w:rPr>
      <w:t>22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91B391">
    <w:pPr>
      <w:spacing w:line="177" w:lineRule="auto"/>
      <w:ind w:left="411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z w:val="21"/>
        <w:szCs w:val="21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15A468">
    <w:pPr>
      <w:spacing w:line="176" w:lineRule="auto"/>
      <w:ind w:left="406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1"/>
        <w:sz w:val="21"/>
        <w:szCs w:val="21"/>
      </w:rPr>
      <w:t>23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3D8113">
    <w:pPr>
      <w:spacing w:line="177" w:lineRule="auto"/>
      <w:ind w:left="406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1"/>
        <w:sz w:val="21"/>
        <w:szCs w:val="21"/>
      </w:rPr>
      <w:t>24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9DFA95">
    <w:pPr>
      <w:spacing w:line="176" w:lineRule="auto"/>
      <w:ind w:left="406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1"/>
        <w:sz w:val="21"/>
        <w:szCs w:val="21"/>
      </w:rPr>
      <w:t>25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0A2DAA">
    <w:pPr>
      <w:spacing w:line="176" w:lineRule="auto"/>
      <w:ind w:left="406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1"/>
        <w:sz w:val="21"/>
        <w:szCs w:val="21"/>
      </w:rPr>
      <w:t>26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BF4985">
    <w:pPr>
      <w:spacing w:line="176" w:lineRule="auto"/>
      <w:ind w:left="406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1"/>
        <w:sz w:val="21"/>
        <w:szCs w:val="21"/>
      </w:rPr>
      <w:t>27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085AE7">
    <w:pPr>
      <w:spacing w:line="176" w:lineRule="auto"/>
      <w:ind w:left="4122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z w:val="21"/>
        <w:szCs w:val="21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1309CF">
    <w:pPr>
      <w:spacing w:line="177" w:lineRule="auto"/>
      <w:ind w:left="4117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z w:val="21"/>
        <w:szCs w:val="21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E04DF2">
    <w:pPr>
      <w:spacing w:line="174" w:lineRule="auto"/>
      <w:ind w:left="4124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z w:val="21"/>
        <w:szCs w:val="21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B4C386">
    <w:pPr>
      <w:spacing w:line="176" w:lineRule="auto"/>
      <w:ind w:left="4123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z w:val="21"/>
        <w:szCs w:val="21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45E281">
    <w:pPr>
      <w:spacing w:line="174" w:lineRule="auto"/>
      <w:ind w:left="4122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z w:val="21"/>
        <w:szCs w:val="21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D0CCA9">
    <w:pPr>
      <w:spacing w:line="176" w:lineRule="auto"/>
      <w:ind w:left="4127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z w:val="21"/>
        <w:szCs w:val="21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0BBFBE">
    <w:pPr>
      <w:spacing w:line="176" w:lineRule="auto"/>
      <w:ind w:left="4122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z w:val="21"/>
        <w:szCs w:val="21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jcxOTg0NDAxMDU4NDUwMjA3MjAzYzNjOGVkYjdkOWEifQ=="/>
  </w:docVars>
  <w:rsids>
    <w:rsidRoot w:val="00000000"/>
    <w:rsid w:val="0C501523"/>
    <w:rsid w:val="0C8F0920"/>
    <w:rsid w:val="149867CB"/>
    <w:rsid w:val="16E22E2F"/>
    <w:rsid w:val="1A4B52AF"/>
    <w:rsid w:val="1E794D0E"/>
    <w:rsid w:val="2324183F"/>
    <w:rsid w:val="2D502B47"/>
    <w:rsid w:val="309D3577"/>
    <w:rsid w:val="32FC2924"/>
    <w:rsid w:val="33BC202C"/>
    <w:rsid w:val="34D00132"/>
    <w:rsid w:val="595F72AE"/>
    <w:rsid w:val="5C3426AC"/>
    <w:rsid w:val="667B0173"/>
    <w:rsid w:val="69D962B2"/>
    <w:rsid w:val="6D1E1642"/>
    <w:rsid w:val="6DCD5D1E"/>
    <w:rsid w:val="732C4B81"/>
    <w:rsid w:val="745936BE"/>
    <w:rsid w:val="77CE3DE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link w:val="6"/>
    <w:qFormat/>
    <w:uiPriority w:val="0"/>
    <w:rPr>
      <w:rFonts w:eastAsia="宋体"/>
      <w:sz w:val="21"/>
      <w:szCs w:val="20"/>
    </w:rPr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 Char"/>
    <w:basedOn w:val="1"/>
    <w:link w:val="5"/>
    <w:qFormat/>
    <w:uiPriority w:val="0"/>
    <w:pPr>
      <w:widowControl/>
      <w:spacing w:after="160" w:line="240" w:lineRule="exact"/>
      <w:jc w:val="left"/>
    </w:pPr>
    <w:rPr>
      <w:rFonts w:eastAsia="宋体"/>
      <w:sz w:val="21"/>
      <w:szCs w:val="20"/>
    </w:rPr>
  </w:style>
  <w:style w:type="character" w:styleId="7">
    <w:name w:val="page number"/>
    <w:basedOn w:val="5"/>
    <w:qFormat/>
    <w:uiPriority w:val="0"/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20"/>
    <w:basedOn w:val="5"/>
    <w:qFormat/>
    <w:uiPriority w:val="0"/>
    <w:rPr>
      <w:rFonts w:hint="default" w:ascii="Times New Roman" w:eastAsia="楷体_GB2312" w:cs="楷体_GB231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6" Type="http://schemas.openxmlformats.org/officeDocument/2006/relationships/fontTable" Target="fontTable.xml"/><Relationship Id="rId45" Type="http://schemas.openxmlformats.org/officeDocument/2006/relationships/chart" Target="charts/chart6.xml"/><Relationship Id="rId44" Type="http://schemas.openxmlformats.org/officeDocument/2006/relationships/chart" Target="charts/chart5.xml"/><Relationship Id="rId43" Type="http://schemas.openxmlformats.org/officeDocument/2006/relationships/chart" Target="charts/chart4.xml"/><Relationship Id="rId42" Type="http://schemas.openxmlformats.org/officeDocument/2006/relationships/chart" Target="charts/chart3.xml"/><Relationship Id="rId41" Type="http://schemas.openxmlformats.org/officeDocument/2006/relationships/chart" Target="charts/chart2.xml"/><Relationship Id="rId40" Type="http://schemas.openxmlformats.org/officeDocument/2006/relationships/chart" Target="charts/chart1.xml"/><Relationship Id="rId4" Type="http://schemas.openxmlformats.org/officeDocument/2006/relationships/endnotes" Target="endnotes.xml"/><Relationship Id="rId39" Type="http://schemas.openxmlformats.org/officeDocument/2006/relationships/image" Target="media/image10.jpeg"/><Relationship Id="rId38" Type="http://schemas.openxmlformats.org/officeDocument/2006/relationships/image" Target="media/image9.jpeg"/><Relationship Id="rId37" Type="http://schemas.openxmlformats.org/officeDocument/2006/relationships/image" Target="media/image8.jpeg"/><Relationship Id="rId36" Type="http://schemas.openxmlformats.org/officeDocument/2006/relationships/image" Target="media/image7.jpeg"/><Relationship Id="rId35" Type="http://schemas.openxmlformats.org/officeDocument/2006/relationships/image" Target="media/image6.jpeg"/><Relationship Id="rId34" Type="http://schemas.openxmlformats.org/officeDocument/2006/relationships/image" Target="media/image5.jpeg"/><Relationship Id="rId33" Type="http://schemas.openxmlformats.org/officeDocument/2006/relationships/image" Target="media/image4.jpeg"/><Relationship Id="rId32" Type="http://schemas.openxmlformats.org/officeDocument/2006/relationships/image" Target="media/image3.jpeg"/><Relationship Id="rId31" Type="http://schemas.openxmlformats.org/officeDocument/2006/relationships/image" Target="media/image2.jpeg"/><Relationship Id="rId30" Type="http://schemas.openxmlformats.org/officeDocument/2006/relationships/image" Target="media/image1.jpeg"/><Relationship Id="rId3" Type="http://schemas.openxmlformats.org/officeDocument/2006/relationships/footnotes" Target="footnotes.xml"/><Relationship Id="rId29" Type="http://schemas.openxmlformats.org/officeDocument/2006/relationships/theme" Target="theme/theme1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package" Target="../embeddings/Workbook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Workbook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Workbook3.xlsx"/></Relationships>
</file>

<file path=word/charts/_rels/chart4.xml.rels><?xml version="1.0" encoding="UTF-8" standalone="yes"?>
<Relationships xmlns="http://schemas.openxmlformats.org/package/2006/relationships"><Relationship Id="rId3" Type="http://schemas.microsoft.com/office/2011/relationships/chartColorStyle" Target="colors2.xml"/><Relationship Id="rId2" Type="http://schemas.microsoft.com/office/2011/relationships/chartStyle" Target="style2.xml"/><Relationship Id="rId1" Type="http://schemas.openxmlformats.org/officeDocument/2006/relationships/package" Target="../embeddings/Workbook4.xlsx"/></Relationships>
</file>

<file path=word/charts/_rels/chart5.xml.rels><?xml version="1.0" encoding="UTF-8" standalone="yes"?>
<Relationships xmlns="http://schemas.openxmlformats.org/package/2006/relationships"><Relationship Id="rId3" Type="http://schemas.microsoft.com/office/2011/relationships/chartColorStyle" Target="colors3.xml"/><Relationship Id="rId2" Type="http://schemas.microsoft.com/office/2011/relationships/chartStyle" Target="style3.xml"/><Relationship Id="rId1" Type="http://schemas.openxmlformats.org/officeDocument/2006/relationships/package" Target="../embeddings/Workbook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Workbook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 forceAA="0"/>
          <a:lstStyle/>
          <a:p>
            <a:pPr defTabSz="914400">
              <a:defRPr lang="zh-CN" sz="1400" b="0" i="0" u="none" strike="noStrike" kern="1200" baseline="0">
                <a:solidFill>
                  <a:schemeClr val="tx1">
                    <a:lumMod val="75000"/>
                    <a:lumOff val="25000"/>
                  </a:schemeClr>
                </a:solidFill>
                <a:latin typeface="微软雅黑" panose="020B0503020204020204" pitchFamily="34" charset="-122"/>
                <a:ea typeface="微软雅黑" panose="020B0503020204020204" pitchFamily="34" charset="-122"/>
                <a:cs typeface="微软雅黑" panose="020B0503020204020204" pitchFamily="34" charset="-122"/>
                <a:sym typeface="微软雅黑" panose="020B0503020204020204" pitchFamily="34" charset="-122"/>
              </a:defRPr>
            </a:pPr>
            <a:r>
              <a:t>图表标题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0746799059315391"/>
          <c:y val="0.173098125689085"/>
          <c:w val="0.895009145544813"/>
          <c:h val="0.614200661521499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2023 年度收、支总计</c:v>
                </c:pt>
              </c:strCache>
            </c:strRef>
          </c:tx>
          <c:spPr>
            <a:gradFill>
              <a:gsLst>
                <a:gs pos="0">
                  <a:schemeClr val="accent1">
                    <a:lumMod val="40000"/>
                    <a:lumOff val="60000"/>
                  </a:schemeClr>
                </a:gs>
                <a:gs pos="90000">
                  <a:schemeClr val="accent1"/>
                </a:gs>
              </a:gsLst>
              <a:lin ang="5400000" scaled="0"/>
            </a:gradFill>
            <a:ln>
              <a:gradFill>
                <a:gsLst>
                  <a:gs pos="0">
                    <a:schemeClr val="accent1"/>
                  </a:gs>
                  <a:gs pos="100000">
                    <a:schemeClr val="accent1">
                      <a:lumMod val="75000"/>
                    </a:schemeClr>
                  </a:gs>
                </a:gsLst>
                <a:lin ang="5400000" scaled="1"/>
              </a:gradFill>
            </a:ln>
            <a:effectLst>
              <a:outerShdw blurRad="76200" dist="25400" dir="2700000" algn="tl" rotWithShape="0">
                <a:schemeClr val="accent1">
                  <a:lumMod val="50000"/>
                  <a:alpha val="30000"/>
                </a:scheme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Sheet1!$A$2</c:f>
              <c:numCache>
                <c:formatCode>General</c:formatCode>
                <c:ptCount val="1"/>
              </c:numCache>
            </c:numRef>
          </c:cat>
          <c:val>
            <c:numRef>
              <c:f>Sheet1!$B$2</c:f>
              <c:numCache>
                <c:formatCode>#,##0.00</c:formatCode>
                <c:ptCount val="1"/>
                <c:pt idx="0">
                  <c:v>1965.43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2022年度收、支总计</c:v>
                </c:pt>
              </c:strCache>
            </c:strRef>
          </c:tx>
          <c:spPr>
            <a:gradFill>
              <a:gsLst>
                <a:gs pos="0">
                  <a:schemeClr val="accent2">
                    <a:lumMod val="40000"/>
                    <a:lumOff val="60000"/>
                  </a:schemeClr>
                </a:gs>
                <a:gs pos="90000">
                  <a:schemeClr val="accent2"/>
                </a:gs>
              </a:gsLst>
              <a:lin ang="5400000" scaled="0"/>
            </a:gradFill>
            <a:ln>
              <a:gradFill>
                <a:gsLst>
                  <a:gs pos="0">
                    <a:schemeClr val="accent2"/>
                  </a:gs>
                  <a:gs pos="100000">
                    <a:schemeClr val="accent2">
                      <a:lumMod val="75000"/>
                    </a:schemeClr>
                  </a:gs>
                </a:gsLst>
                <a:lin ang="5400000" scaled="1"/>
              </a:gradFill>
            </a:ln>
            <a:effectLst>
              <a:outerShdw blurRad="76200" dist="25400" dir="2700000" algn="tl" rotWithShape="0">
                <a:schemeClr val="accent2">
                  <a:lumMod val="50000"/>
                  <a:alpha val="30000"/>
                </a:scheme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Sheet1!$A$2</c:f>
              <c:numCache>
                <c:formatCode>General</c:formatCode>
                <c:ptCount val="1"/>
              </c:numCache>
            </c:numRef>
          </c:cat>
          <c:val>
            <c:numRef>
              <c:f>Sheet1!$C$2</c:f>
              <c:numCache>
                <c:formatCode>General</c:formatCode>
                <c:ptCount val="1"/>
                <c:pt idx="0">
                  <c:v>1963.42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收、支总计各增加</c:v>
                </c:pt>
              </c:strCache>
            </c:strRef>
          </c:tx>
          <c:spPr>
            <a:gradFill>
              <a:gsLst>
                <a:gs pos="0">
                  <a:schemeClr val="accent3">
                    <a:lumMod val="40000"/>
                    <a:lumOff val="60000"/>
                  </a:schemeClr>
                </a:gs>
                <a:gs pos="90000">
                  <a:schemeClr val="accent3"/>
                </a:gs>
              </a:gsLst>
              <a:lin ang="5400000" scaled="0"/>
            </a:gradFill>
            <a:ln>
              <a:gradFill>
                <a:gsLst>
                  <a:gs pos="0">
                    <a:schemeClr val="accent3"/>
                  </a:gs>
                  <a:gs pos="100000">
                    <a:schemeClr val="accent3">
                      <a:lumMod val="75000"/>
                    </a:schemeClr>
                  </a:gs>
                </a:gsLst>
                <a:lin ang="5400000" scaled="1"/>
              </a:gradFill>
            </a:ln>
            <a:effectLst>
              <a:outerShdw blurRad="76200" dist="25400" dir="2700000" algn="tl" rotWithShape="0">
                <a:schemeClr val="accent3">
                  <a:lumMod val="50000"/>
                  <a:alpha val="30000"/>
                </a:scheme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Sheet1!$A$2</c:f>
              <c:numCache>
                <c:formatCode>General</c:formatCode>
                <c:ptCount val="1"/>
              </c:numCache>
            </c:numRef>
          </c:cat>
          <c:val>
            <c:numRef>
              <c:f>Sheet1!$D$2</c:f>
              <c:numCache>
                <c:formatCode>General</c:formatCode>
                <c:ptCount val="1"/>
                <c:pt idx="0">
                  <c:v>2.01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6"/>
        <c:overlap val="100"/>
        <c:axId val="842895095"/>
        <c:axId val="742115912"/>
      </c:barChart>
      <c:catAx>
        <c:axId val="84289509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tx1">
                <a:lumMod val="50000"/>
                <a:lumOff val="50000"/>
                <a:alpha val="2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 forceAA="0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75000"/>
                    <a:lumOff val="25000"/>
                  </a:schemeClr>
                </a:solidFill>
                <a:latin typeface="微软雅黑" panose="020B0503020204020204" pitchFamily="34" charset="-122"/>
                <a:ea typeface="微软雅黑" panose="020B0503020204020204" pitchFamily="34" charset="-122"/>
                <a:cs typeface="微软雅黑" panose="020B0503020204020204" pitchFamily="34" charset="-122"/>
                <a:sym typeface="微软雅黑" panose="020B0503020204020204" pitchFamily="34" charset="-122"/>
              </a:defRPr>
            </a:pPr>
          </a:p>
        </c:txPr>
        <c:crossAx val="742115912"/>
        <c:crosses val="autoZero"/>
        <c:auto val="1"/>
        <c:lblAlgn val="ctr"/>
        <c:lblOffset val="100"/>
        <c:noMultiLvlLbl val="0"/>
      </c:catAx>
      <c:valAx>
        <c:axId val="742115912"/>
        <c:scaling>
          <c:orientation val="minMax"/>
        </c:scaling>
        <c:delete val="0"/>
        <c:axPos val="l"/>
        <c:majorGridlines>
          <c:spPr>
            <a:ln w="6350" cap="flat" cmpd="sng" algn="ctr">
              <a:solidFill>
                <a:schemeClr val="tx1">
                  <a:lumMod val="50000"/>
                  <a:lumOff val="50000"/>
                  <a:alpha val="25000"/>
                </a:schemeClr>
              </a:solidFill>
              <a:round/>
            </a:ln>
            <a:effectLst/>
          </c:spPr>
        </c:majorGridlines>
        <c:numFmt formatCode="#,##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 forceAA="0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75000"/>
                    <a:lumOff val="25000"/>
                  </a:schemeClr>
                </a:solidFill>
                <a:latin typeface="微软雅黑" panose="020B0503020204020204" pitchFamily="34" charset="-122"/>
                <a:ea typeface="微软雅黑" panose="020B0503020204020204" pitchFamily="34" charset="-122"/>
                <a:cs typeface="微软雅黑" panose="020B0503020204020204" pitchFamily="34" charset="-122"/>
                <a:sym typeface="微软雅黑" panose="020B0503020204020204" pitchFamily="34" charset="-122"/>
              </a:defRPr>
            </a:pPr>
          </a:p>
        </c:txPr>
        <c:crossAx val="842895095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 forceAA="0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微软雅黑" panose="020B0503020204020204" pitchFamily="34" charset="-122"/>
              <a:ea typeface="微软雅黑" panose="020B0503020204020204" pitchFamily="34" charset="-122"/>
              <a:cs typeface="微软雅黑" panose="020B0503020204020204" pitchFamily="34" charset="-122"/>
              <a:sym typeface="微软雅黑" panose="020B0503020204020204" pitchFamily="34" charset="-122"/>
            </a:defRPr>
          </a:pPr>
        </a:p>
      </c:txPr>
    </c:legend>
    <c:plotVisOnly val="1"/>
    <c:dispBlanksAs val="gap"/>
    <c:showDLblsOverMax val="0"/>
    <c:extLst>
      <c:ext uri="{0b15fc19-7d7d-44ad-8c2d-2c3a37ce22c3}">
        <chartProps xmlns="https://web.wps.cn/et/2018/main" chartId="{7cb1b03f-3236-435d-b14a-6f35599d3957}"/>
      </c:ext>
    </c:extLst>
  </c:chart>
  <c:spPr>
    <a:solidFill>
      <a:schemeClr val="bg1"/>
    </a:solidFill>
    <a:ln w="6350" cap="flat" cmpd="sng" algn="ctr">
      <a:solidFill>
        <a:schemeClr val="tx1">
          <a:lumMod val="50000"/>
          <a:lumOff val="50000"/>
          <a:alpha val="25000"/>
        </a:schemeClr>
      </a:solidFill>
      <a:round/>
    </a:ln>
    <a:effectLst>
      <a:outerShdw blurRad="63500" dist="37357" dir="2700000" sx="0" sy="0" rotWithShape="0">
        <a:scrgbClr r="0" g="0" b="0"/>
      </a:outerShdw>
    </a:effectLst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 forceAA="0"/>
          <a:lstStyle/>
          <a:p>
            <a:pPr defTabSz="914400">
              <a:defRPr lang="zh-CN" sz="1400" b="0" i="0" u="none" strike="noStrike" kern="1200" baseline="0">
                <a:solidFill>
                  <a:schemeClr val="tx1">
                    <a:lumMod val="75000"/>
                    <a:lumOff val="25000"/>
                  </a:schemeClr>
                </a:solidFill>
                <a:latin typeface="微软雅黑" panose="020B0503020204020204" pitchFamily="34" charset="-122"/>
                <a:ea typeface="微软雅黑" panose="020B0503020204020204" pitchFamily="34" charset="-122"/>
                <a:cs typeface="微软雅黑" panose="020B0503020204020204" pitchFamily="34" charset="-122"/>
                <a:sym typeface="微软雅黑" panose="020B0503020204020204" pitchFamily="34" charset="-122"/>
              </a:defRPr>
            </a:pPr>
            <a:r>
              <a:t>收入情况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30"/>
      <c:rotY val="0"/>
      <c:depthPercent val="10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收入决算情况</c:v>
                </c:pt>
              </c:strCache>
            </c:strRef>
          </c:tx>
          <c:spPr>
            <a:ln w="15875">
              <a:solidFill>
                <a:schemeClr val="bg1"/>
              </a:solidFill>
            </a:ln>
            <a:effectLst/>
            <a:scene3d>
              <a:camera prst="orthographicFront"/>
              <a:lightRig rig="threePt" dir="t"/>
            </a:scene3d>
            <a:sp3d contourW="15875"/>
          </c:spPr>
          <c:explosion val="0"/>
          <c:dPt>
            <c:idx val="0"/>
            <c:bubble3D val="0"/>
            <c:spPr>
              <a:solidFill>
                <a:schemeClr val="accent1">
                  <a:shade val="76667"/>
                </a:schemeClr>
              </a:solidFill>
              <a:ln w="15875">
                <a:solidFill>
                  <a:schemeClr val="bg1"/>
                </a:solidFill>
              </a:ln>
              <a:effectLst/>
              <a:scene3d>
                <a:camera prst="orthographicFront"/>
                <a:lightRig rig="threePt" dir="t"/>
              </a:scene3d>
              <a:sp3d contourW="15875"/>
            </c:spPr>
          </c:dPt>
          <c:dPt>
            <c:idx val="1"/>
            <c:bubble3D val="0"/>
            <c:spPr>
              <a:solidFill>
                <a:schemeClr val="accent2">
                  <a:shade val="76667"/>
                </a:schemeClr>
              </a:solidFill>
              <a:ln w="15875">
                <a:solidFill>
                  <a:schemeClr val="bg1"/>
                </a:solidFill>
              </a:ln>
              <a:effectLst/>
              <a:scene3d>
                <a:camera prst="orthographicFront"/>
                <a:lightRig rig="threePt" dir="t"/>
              </a:scene3d>
              <a:sp3d contourW="15875"/>
            </c:spPr>
          </c:dPt>
          <c:dPt>
            <c:idx val="2"/>
            <c:bubble3D val="0"/>
            <c:spPr>
              <a:solidFill>
                <a:schemeClr val="accent3">
                  <a:shade val="76667"/>
                </a:schemeClr>
              </a:solidFill>
              <a:ln w="15875">
                <a:solidFill>
                  <a:schemeClr val="bg1"/>
                </a:solidFill>
              </a:ln>
              <a:effectLst/>
              <a:scene3d>
                <a:camera prst="orthographicFront"/>
                <a:lightRig rig="threePt" dir="t"/>
              </a:scene3d>
              <a:sp3d contourW="15875"/>
            </c:spPr>
          </c:dPt>
          <c:dPt>
            <c:idx val="3"/>
            <c:bubble3D val="0"/>
            <c:spPr>
              <a:solidFill>
                <a:schemeClr val="accent4">
                  <a:shade val="76667"/>
                </a:schemeClr>
              </a:solidFill>
              <a:ln w="15875">
                <a:solidFill>
                  <a:schemeClr val="bg1"/>
                </a:solidFill>
              </a:ln>
              <a:effectLst/>
              <a:scene3d>
                <a:camera prst="orthographicFront"/>
                <a:lightRig rig="threePt" dir="t"/>
              </a:scene3d>
              <a:sp3d contourW="15875"/>
            </c:spPr>
          </c:dPt>
          <c:dLbls>
            <c:numFmt formatCode="General" sourceLinked="1"/>
            <c:spPr>
              <a:noFill/>
              <a:ln w="6350"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 forceAA="0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微软雅黑" panose="020B0503020204020204" pitchFamily="34" charset="-122"/>
                    <a:ea typeface="微软雅黑" panose="020B0503020204020204" pitchFamily="34" charset="-122"/>
                    <a:cs typeface="微软雅黑" panose="020B0503020204020204" pitchFamily="34" charset="-122"/>
                    <a:sym typeface="微软雅黑" panose="020B0503020204020204" pitchFamily="34" charset="-122"/>
                  </a:defRPr>
                </a:pPr>
              </a:p>
            </c:txPr>
            <c:dLblPos val="outEnd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Sheet1!$A$2:$A$5</c:f>
              <c:strCache>
                <c:ptCount val="4"/>
                <c:pt idx="0">
                  <c:v>本年收入合计</c:v>
                </c:pt>
                <c:pt idx="1">
                  <c:v>2023财政拨款收入</c:v>
                </c:pt>
                <c:pt idx="2">
                  <c:v>比 上年增加</c:v>
                </c:pt>
                <c:pt idx="3">
                  <c:v>2022财政拨款收入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1965.43</c:v>
                </c:pt>
                <c:pt idx="1">
                  <c:v>1965.36</c:v>
                </c:pt>
                <c:pt idx="2">
                  <c:v>1.99</c:v>
                </c:pt>
                <c:pt idx="3">
                  <c:v>1963.37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f802bff8-45dc-4ebd-8b67-5a484190ddb1}"/>
      </c:ext>
    </c:extLst>
  </c:chart>
  <c:spPr>
    <a:solidFill>
      <a:schemeClr val="bg1"/>
    </a:solidFill>
    <a:ln w="6350" cap="flat" cmpd="sng" algn="ctr">
      <a:solidFill>
        <a:schemeClr val="tx1">
          <a:lumMod val="50000"/>
          <a:lumOff val="50000"/>
          <a:alpha val="25000"/>
        </a:schemeClr>
      </a:solidFill>
      <a:prstDash val="solid"/>
      <a:round/>
    </a:ln>
    <a:effectLst>
      <a:outerShdw blurRad="63500" dist="37357" dir="2700000" sx="0" sy="0" rotWithShape="0">
        <a:scrgbClr r="0" g="0" b="0"/>
      </a:outerShdw>
    </a:effectLst>
  </c:spPr>
  <c:txPr>
    <a:bodyPr/>
    <a:lstStyle/>
    <a:p>
      <a:pPr>
        <a:defRPr lang="zh-CN">
          <a:solidFill>
            <a:schemeClr val="tx1">
              <a:lumMod val="75000"/>
              <a:lumOff val="25000"/>
            </a:schemeClr>
          </a:solidFill>
          <a:latin typeface="微软雅黑" panose="020B0503020204020204" pitchFamily="34" charset="-122"/>
          <a:ea typeface="微软雅黑" panose="020B0503020204020204" pitchFamily="34" charset="-122"/>
          <a:cs typeface="微软雅黑" panose="020B0503020204020204" pitchFamily="34" charset="-122"/>
          <a:sym typeface="微软雅黑" panose="020B0503020204020204" pitchFamily="34" charset="-122"/>
        </a:defRPr>
      </a:pPr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 forceAA="0"/>
          <a:lstStyle/>
          <a:p>
            <a:pPr defTabSz="914400">
              <a:defRPr lang="zh-CN" sz="1400" b="0" i="0" u="none" strike="noStrike" kern="1200" baseline="0">
                <a:solidFill>
                  <a:schemeClr val="tx1">
                    <a:lumMod val="75000"/>
                    <a:lumOff val="25000"/>
                  </a:schemeClr>
                </a:solidFill>
                <a:latin typeface="微软雅黑" panose="020B0503020204020204" pitchFamily="34" charset="-122"/>
                <a:ea typeface="微软雅黑" panose="020B0503020204020204" pitchFamily="34" charset="-122"/>
                <a:cs typeface="微软雅黑" panose="020B0503020204020204" pitchFamily="34" charset="-122"/>
                <a:sym typeface="微软雅黑" panose="020B0503020204020204" pitchFamily="34" charset="-122"/>
              </a:defRPr>
            </a:pPr>
            <a:r>
              <a:t>支出情况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30"/>
      <c:rotY val="0"/>
      <c:depthPercent val="10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销售额</c:v>
                </c:pt>
              </c:strCache>
            </c:strRef>
          </c:tx>
          <c:spPr>
            <a:ln w="15875">
              <a:solidFill>
                <a:schemeClr val="bg1"/>
              </a:solidFill>
            </a:ln>
            <a:effectLst/>
            <a:scene3d>
              <a:camera prst="orthographicFront"/>
              <a:lightRig rig="threePt" dir="t"/>
            </a:scene3d>
            <a:sp3d contourW="15875"/>
          </c:spPr>
          <c:explosion val="0"/>
          <c:dPt>
            <c:idx val="0"/>
            <c:bubble3D val="0"/>
            <c:spPr>
              <a:solidFill>
                <a:schemeClr val="accent1">
                  <a:shade val="76667"/>
                </a:schemeClr>
              </a:solidFill>
              <a:ln w="15875">
                <a:solidFill>
                  <a:schemeClr val="bg1"/>
                </a:solidFill>
              </a:ln>
              <a:effectLst/>
              <a:scene3d>
                <a:camera prst="orthographicFront"/>
                <a:lightRig rig="threePt" dir="t"/>
              </a:scene3d>
              <a:sp3d contourW="15875"/>
            </c:spPr>
          </c:dPt>
          <c:dPt>
            <c:idx val="1"/>
            <c:bubble3D val="0"/>
            <c:spPr>
              <a:solidFill>
                <a:schemeClr val="accent2">
                  <a:shade val="76667"/>
                </a:schemeClr>
              </a:solidFill>
              <a:ln w="15875">
                <a:solidFill>
                  <a:schemeClr val="bg1"/>
                </a:solidFill>
              </a:ln>
              <a:effectLst/>
              <a:scene3d>
                <a:camera prst="orthographicFront"/>
                <a:lightRig rig="threePt" dir="t"/>
              </a:scene3d>
              <a:sp3d contourW="15875"/>
            </c:spPr>
          </c:dPt>
          <c:dPt>
            <c:idx val="2"/>
            <c:bubble3D val="0"/>
            <c:spPr>
              <a:solidFill>
                <a:schemeClr val="accent3">
                  <a:shade val="76667"/>
                </a:schemeClr>
              </a:solidFill>
              <a:ln w="15875">
                <a:solidFill>
                  <a:schemeClr val="bg1"/>
                </a:solidFill>
              </a:ln>
              <a:effectLst/>
              <a:scene3d>
                <a:camera prst="orthographicFront"/>
                <a:lightRig rig="threePt" dir="t"/>
              </a:scene3d>
              <a:sp3d contourW="15875"/>
            </c:spPr>
          </c:dPt>
          <c:dPt>
            <c:idx val="3"/>
            <c:bubble3D val="0"/>
            <c:spPr>
              <a:solidFill>
                <a:schemeClr val="accent4">
                  <a:shade val="76667"/>
                </a:schemeClr>
              </a:solidFill>
              <a:ln w="15875">
                <a:solidFill>
                  <a:schemeClr val="bg1"/>
                </a:solidFill>
              </a:ln>
              <a:effectLst/>
              <a:scene3d>
                <a:camera prst="orthographicFront"/>
                <a:lightRig rig="threePt" dir="t"/>
              </a:scene3d>
              <a:sp3d contourW="15875"/>
            </c:spPr>
          </c:dPt>
          <c:dLbls>
            <c:numFmt formatCode="General" sourceLinked="1"/>
            <c:spPr>
              <a:noFill/>
              <a:ln w="6350"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 forceAA="0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微软雅黑" panose="020B0503020204020204" pitchFamily="34" charset="-122"/>
                    <a:ea typeface="微软雅黑" panose="020B0503020204020204" pitchFamily="34" charset="-122"/>
                    <a:cs typeface="微软雅黑" panose="020B0503020204020204" pitchFamily="34" charset="-122"/>
                    <a:sym typeface="微软雅黑" panose="020B0503020204020204" pitchFamily="34" charset="-122"/>
                  </a:defRPr>
                </a:pPr>
              </a:p>
            </c:txPr>
            <c:dLblPos val="outEnd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Sheet1!$A$2:$A$5</c:f>
              <c:strCache>
                <c:ptCount val="4"/>
                <c:pt idx="0">
                  <c:v>本年支出合计</c:v>
                </c:pt>
                <c:pt idx="1">
                  <c:v>2023基本支出</c:v>
                </c:pt>
                <c:pt idx="2">
                  <c:v>2022基本支出</c:v>
                </c:pt>
                <c:pt idx="3">
                  <c:v>比上年 增加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1965.43</c:v>
                </c:pt>
                <c:pt idx="1">
                  <c:v>1965.43</c:v>
                </c:pt>
                <c:pt idx="2">
                  <c:v>1963.42</c:v>
                </c:pt>
                <c:pt idx="3">
                  <c:v>2.01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34f0a6a0-b226-477b-9b91-4304b35b681b}"/>
      </c:ext>
    </c:extLst>
  </c:chart>
  <c:spPr>
    <a:solidFill>
      <a:schemeClr val="bg1"/>
    </a:solidFill>
    <a:ln w="6350" cap="flat" cmpd="sng" algn="ctr">
      <a:solidFill>
        <a:schemeClr val="tx1">
          <a:lumMod val="50000"/>
          <a:lumOff val="50000"/>
          <a:alpha val="25000"/>
        </a:schemeClr>
      </a:solidFill>
      <a:prstDash val="solid"/>
      <a:round/>
    </a:ln>
    <a:effectLst>
      <a:outerShdw blurRad="63500" dist="37357" dir="2700000" sx="0" sy="0" rotWithShape="0">
        <a:scrgbClr r="0" g="0" b="0"/>
      </a:outerShdw>
    </a:effectLst>
  </c:spPr>
  <c:txPr>
    <a:bodyPr/>
    <a:lstStyle/>
    <a:p>
      <a:pPr>
        <a:defRPr lang="zh-CN">
          <a:solidFill>
            <a:schemeClr val="tx1">
              <a:lumMod val="75000"/>
              <a:lumOff val="25000"/>
            </a:schemeClr>
          </a:solidFill>
          <a:latin typeface="微软雅黑" panose="020B0503020204020204" pitchFamily="34" charset="-122"/>
          <a:ea typeface="微软雅黑" panose="020B0503020204020204" pitchFamily="34" charset="-122"/>
          <a:cs typeface="微软雅黑" panose="020B0503020204020204" pitchFamily="34" charset="-122"/>
          <a:sym typeface="微软雅黑" panose="020B0503020204020204" pitchFamily="34" charset="-122"/>
        </a:defRPr>
      </a:pPr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 forceAA="0"/>
          <a:lstStyle/>
          <a:p>
            <a:pPr defTabSz="914400">
              <a:defRPr lang="zh-CN" sz="1400" b="0" i="0" u="none" strike="noStrike" kern="1200" spc="0" baseline="0">
                <a:solidFill>
                  <a:schemeClr val="bg1">
                    <a:lumMod val="65000"/>
                  </a:schemeClr>
                </a:solidFill>
                <a:effectLst/>
                <a:latin typeface="微软雅黑" panose="020B0503020204020204" pitchFamily="34" charset="-122"/>
                <a:ea typeface="微软雅黑" panose="020B0503020204020204" pitchFamily="34" charset="-122"/>
                <a:cs typeface="微软雅黑" panose="020B0503020204020204" pitchFamily="34" charset="-122"/>
                <a:sym typeface="微软雅黑" panose="020B0503020204020204" pitchFamily="34" charset="-122"/>
              </a:defRPr>
            </a:pPr>
            <a:r>
              <a:t>财政拨款收入支出总体情况</a:t>
            </a:r>
          </a:p>
        </c:rich>
      </c:tx>
      <c:layout>
        <c:manualLayout>
          <c:xMode val="edge"/>
          <c:yMode val="edge"/>
          <c:x val="0.0192056441076561"/>
          <c:y val="0.0308710033076075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0900312532791253"/>
          <c:y val="0.180255753587582"/>
          <c:w val="0.873734694843312"/>
          <c:h val="0.686161352212451"/>
        </c:manualLayout>
      </c:layout>
      <c:barChart>
        <c:barDir val="col"/>
        <c:grouping val="clustered"/>
        <c:varyColors val="0"/>
        <c:ser>
          <c:idx val="3"/>
          <c:order val="0"/>
          <c:tx>
            <c:strRef>
              <c:f>Sheet1!$B$1</c:f>
              <c:strCache>
                <c:ptCount val="1"/>
                <c:pt idx="0">
                  <c:v>2023 年度财政拨款收、支总计</c:v>
                </c:pt>
              </c:strCache>
            </c:strRef>
          </c:tx>
          <c:spPr>
            <a:solidFill>
              <a:srgbClr val="9884F4">
                <a:alpha val="70000"/>
              </a:srgbClr>
            </a:solidFill>
            <a:ln>
              <a:noFill/>
            </a:ln>
            <a:effectLst/>
          </c:spPr>
          <c:invertIfNegative val="0"/>
          <c:dLbls>
            <c:numFmt formatCode="General" sourceLinked="1"/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 forceAA="0"/>
              <a:lstStyle/>
              <a:p>
                <a:pPr>
                  <a:defRPr lang="zh-CN" sz="900" b="0" i="0" u="none" strike="noStrike" kern="1200" baseline="0">
                    <a:solidFill>
                      <a:schemeClr val="bg1"/>
                    </a:solidFill>
                    <a:effectLst/>
                    <a:latin typeface="微软雅黑" panose="020B0503020204020204" pitchFamily="34" charset="-122"/>
                    <a:ea typeface="微软雅黑" panose="020B0503020204020204" pitchFamily="34" charset="-122"/>
                    <a:cs typeface="微软雅黑" panose="020B0503020204020204" pitchFamily="34" charset="-122"/>
                    <a:sym typeface="微软雅黑" panose="020B0503020204020204" pitchFamily="34" charset="-122"/>
                  </a:defRPr>
                </a:pPr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</c:f>
              <c:strCache>
                <c:ptCount val="1"/>
                <c:pt idx="0">
                  <c:v>类别 1</c:v>
                </c:pt>
              </c:strCache>
            </c:strRef>
          </c:cat>
          <c:val>
            <c:numRef>
              <c:f>Sheet1!$B$2</c:f>
              <c:numCache>
                <c:formatCode>General</c:formatCode>
                <c:ptCount val="1"/>
                <c:pt idx="0">
                  <c:v>1965.36</c:v>
                </c:pt>
              </c:numCache>
            </c:numRef>
          </c:val>
        </c:ser>
        <c:ser>
          <c:idx val="4"/>
          <c:order val="1"/>
          <c:tx>
            <c:strRef>
              <c:f>Sheet1!$C$1</c:f>
              <c:strCache>
                <c:ptCount val="1"/>
                <c:pt idx="0">
                  <c:v>2022年度财政拨款收、支总计</c:v>
                </c:pt>
              </c:strCache>
            </c:strRef>
          </c:tx>
          <c:spPr>
            <a:solidFill>
              <a:srgbClr val="93CCE9">
                <a:alpha val="70000"/>
              </a:srgbClr>
            </a:solidFill>
            <a:ln>
              <a:noFill/>
            </a:ln>
            <a:effectLst/>
          </c:spPr>
          <c:invertIfNegative val="0"/>
          <c:dLbls>
            <c:numFmt formatCode="General" sourceLinked="1"/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 forceAA="0"/>
              <a:lstStyle/>
              <a:p>
                <a:pPr>
                  <a:defRPr lang="zh-CN" sz="900" b="0" i="0" u="none" strike="noStrike" kern="1200" baseline="0">
                    <a:solidFill>
                      <a:schemeClr val="bg1"/>
                    </a:solidFill>
                    <a:effectLst/>
                    <a:latin typeface="微软雅黑" panose="020B0503020204020204" pitchFamily="34" charset="-122"/>
                    <a:ea typeface="微软雅黑" panose="020B0503020204020204" pitchFamily="34" charset="-122"/>
                    <a:cs typeface="微软雅黑" panose="020B0503020204020204" pitchFamily="34" charset="-122"/>
                    <a:sym typeface="微软雅黑" panose="020B0503020204020204" pitchFamily="34" charset="-122"/>
                  </a:defRPr>
                </a:pPr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</c:f>
              <c:strCache>
                <c:ptCount val="1"/>
                <c:pt idx="0">
                  <c:v>类别 1</c:v>
                </c:pt>
              </c:strCache>
            </c:strRef>
          </c:cat>
          <c:val>
            <c:numRef>
              <c:f>Sheet1!$C$2</c:f>
              <c:numCache>
                <c:formatCode>General</c:formatCode>
                <c:ptCount val="1"/>
                <c:pt idx="0">
                  <c:v>1963.35</c:v>
                </c:pt>
              </c:numCache>
            </c:numRef>
          </c:val>
        </c:ser>
        <c:ser>
          <c:idx val="0"/>
          <c:order val="2"/>
          <c:tx>
            <c:strRef>
              <c:f>Sheet1!$D$1</c:f>
              <c:strCache>
                <c:ptCount val="1"/>
                <c:pt idx="0">
                  <c:v>财政拨款收、支总计各增加</c:v>
                </c:pt>
              </c:strCache>
            </c:strRef>
          </c:tx>
          <c:spPr>
            <a:solidFill>
              <a:srgbClr val="9884F4">
                <a:alpha val="70000"/>
              </a:srgbClr>
            </a:solidFill>
            <a:ln>
              <a:noFill/>
            </a:ln>
            <a:effectLst/>
          </c:spPr>
          <c:invertIfNegative val="0"/>
          <c:dLbls>
            <c:numFmt formatCode="General" sourceLinked="1"/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微软雅黑" panose="020B0503020204020204" pitchFamily="34" charset="-122"/>
                    <a:ea typeface="微软雅黑" panose="020B0503020204020204" pitchFamily="34" charset="-122"/>
                    <a:cs typeface="微软雅黑" panose="020B0503020204020204" pitchFamily="34" charset="-122"/>
                    <a:sym typeface="微软雅黑" panose="020B0503020204020204" pitchFamily="34" charset="-122"/>
                  </a:defRPr>
                </a:pPr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</c:f>
              <c:strCache>
                <c:ptCount val="1"/>
                <c:pt idx="0">
                  <c:v>类别 1</c:v>
                </c:pt>
              </c:strCache>
            </c:strRef>
          </c:cat>
          <c:val>
            <c:numRef>
              <c:f>Sheet1!$D$2</c:f>
              <c:numCache>
                <c:formatCode>General</c:formatCode>
                <c:ptCount val="1"/>
                <c:pt idx="0">
                  <c:v>2.01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20"/>
        <c:overlap val="20"/>
        <c:axId val="69179610"/>
        <c:axId val="321888726"/>
      </c:barChart>
      <c:catAx>
        <c:axId val="69179610"/>
        <c:scaling>
          <c:orientation val="minMax"/>
        </c:scaling>
        <c:delete val="0"/>
        <c:axPos val="b"/>
        <c:majorGridlines>
          <c:spPr>
            <a:ln w="3175" cap="flat" cmpd="sng" algn="ctr">
              <a:solidFill>
                <a:schemeClr val="bg1">
                  <a:lumMod val="85000"/>
                </a:schemeClr>
              </a:solidFill>
              <a:round/>
            </a:ln>
            <a:effectLst/>
          </c:spPr>
        </c:majorGridlines>
        <c:minorGridlines>
          <c:spPr>
            <a:ln w="3175" cap="flat" cmpd="sng" algn="ctr">
              <a:solidFill>
                <a:schemeClr val="bg1">
                  <a:lumMod val="85000"/>
                </a:schemeClr>
              </a:solidFill>
              <a:round/>
            </a:ln>
            <a:effectLst/>
          </c:spPr>
        </c:minorGridlines>
        <c:numFmt formatCode="General" sourceLinked="1"/>
        <c:majorTickMark val="in"/>
        <c:minorTickMark val="none"/>
        <c:tickLblPos val="nextTo"/>
        <c:spPr>
          <a:noFill/>
          <a:ln w="3175" cap="flat" cmpd="sng" algn="ctr">
            <a:noFill/>
            <a:prstDash val="solid"/>
            <a:round/>
          </a:ln>
          <a:effectLst/>
        </c:spPr>
        <c:txPr>
          <a:bodyPr rot="-60000000" spcFirstLastPara="0" vertOverflow="ellipsis" vert="horz" wrap="square" anchor="ctr" anchorCtr="1" forceAA="0"/>
          <a:lstStyle/>
          <a:p>
            <a:pPr>
              <a:defRPr lang="zh-CN" sz="900" b="0" i="0" u="none" strike="noStrike" kern="1200" baseline="0">
                <a:solidFill>
                  <a:schemeClr val="bg1">
                    <a:lumMod val="65000"/>
                  </a:schemeClr>
                </a:solidFill>
                <a:effectLst/>
                <a:latin typeface="微软雅黑" panose="020B0503020204020204" pitchFamily="34" charset="-122"/>
                <a:ea typeface="微软雅黑" panose="020B0503020204020204" pitchFamily="34" charset="-122"/>
                <a:cs typeface="微软雅黑" panose="020B0503020204020204" pitchFamily="34" charset="-122"/>
                <a:sym typeface="微软雅黑" panose="020B0503020204020204" pitchFamily="34" charset="-122"/>
              </a:defRPr>
            </a:pPr>
          </a:p>
        </c:txPr>
        <c:crossAx val="321888726"/>
        <c:crosses val="autoZero"/>
        <c:auto val="1"/>
        <c:lblAlgn val="ctr"/>
        <c:lblOffset val="100"/>
        <c:noMultiLvlLbl val="0"/>
      </c:catAx>
      <c:valAx>
        <c:axId val="321888726"/>
        <c:scaling>
          <c:orientation val="minMax"/>
        </c:scaling>
        <c:delete val="0"/>
        <c:axPos val="l"/>
        <c:majorGridlines>
          <c:spPr>
            <a:ln w="3175" cap="flat" cmpd="sng" algn="ctr">
              <a:solidFill>
                <a:schemeClr val="bg1">
                  <a:lumMod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 forceAA="0"/>
          <a:lstStyle/>
          <a:p>
            <a:pPr>
              <a:defRPr lang="zh-CN" sz="900" b="0" i="0" u="none" strike="noStrike" kern="1200" baseline="0">
                <a:solidFill>
                  <a:schemeClr val="bg1">
                    <a:lumMod val="65000"/>
                  </a:schemeClr>
                </a:solidFill>
                <a:latin typeface="微软雅黑" panose="020B0503020204020204" pitchFamily="34" charset="-122"/>
                <a:ea typeface="微软雅黑" panose="020B0503020204020204" pitchFamily="34" charset="-122"/>
                <a:cs typeface="微软雅黑" panose="020B0503020204020204" pitchFamily="34" charset="-122"/>
                <a:sym typeface="微软雅黑" panose="020B0503020204020204" pitchFamily="34" charset="-122"/>
              </a:defRPr>
            </a:pPr>
          </a:p>
        </c:txPr>
        <c:crossAx val="69179610"/>
        <c:crosses val="autoZero"/>
        <c:crossBetween val="between"/>
      </c:valAx>
      <c:spPr>
        <a:solidFill>
          <a:schemeClr val="bg1"/>
        </a:solidFill>
        <a:ln w="3175">
          <a:noFill/>
        </a:ln>
        <a:effectLst/>
      </c:spPr>
    </c:plotArea>
    <c:legend>
      <c:legendPos val="t"/>
      <c:layout>
        <c:manualLayout>
          <c:xMode val="edge"/>
          <c:yMode val="edge"/>
          <c:x val="0.577071756462914"/>
          <c:y val="0.0486612834679133"/>
          <c:w val="0.391761294998792"/>
          <c:h val="0.124946876328092"/>
        </c:manualLayout>
      </c:layout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 forceAA="0"/>
        <a:lstStyle/>
        <a:p>
          <a:pPr>
            <a:defRPr lang="zh-CN" sz="900" b="0" i="0" u="none" strike="noStrike" kern="1200" baseline="0">
              <a:solidFill>
                <a:schemeClr val="bg1">
                  <a:lumMod val="65000"/>
                </a:schemeClr>
              </a:solidFill>
              <a:effectLst/>
              <a:latin typeface="微软雅黑" panose="020B0503020204020204" pitchFamily="34" charset="-122"/>
              <a:ea typeface="微软雅黑" panose="020B0503020204020204" pitchFamily="34" charset="-122"/>
              <a:cs typeface="微软雅黑" panose="020B0503020204020204" pitchFamily="34" charset="-122"/>
              <a:sym typeface="微软雅黑" panose="020B0503020204020204" pitchFamily="34" charset="-122"/>
            </a:defRPr>
          </a:pPr>
        </a:p>
      </c:txPr>
    </c:legend>
    <c:plotVisOnly val="1"/>
    <c:dispBlanksAs val="gap"/>
    <c:showDLblsOverMax val="0"/>
    <c:extLst>
      <c:ext uri="{0b15fc19-7d7d-44ad-8c2d-2c3a37ce22c3}">
        <chartProps xmlns="https://web.wps.cn/et/2018/main" chartId="{8d0b8593-26ce-429c-a661-c61124445bc7}"/>
      </c:ext>
    </c:extLst>
  </c:chart>
  <c:spPr>
    <a:solidFill>
      <a:schemeClr val="bg1"/>
    </a:solidFill>
    <a:ln w="317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>
          <a:latin typeface="微软雅黑" panose="020B0503020204020204" pitchFamily="34" charset="-122"/>
          <a:ea typeface="微软雅黑" panose="020B0503020204020204" pitchFamily="34" charset="-122"/>
          <a:cs typeface="微软雅黑" panose="020B0503020204020204" pitchFamily="34" charset="-122"/>
          <a:sym typeface="微软雅黑" panose="020B0503020204020204" pitchFamily="34" charset="-122"/>
        </a:defRPr>
      </a:pPr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 forceAA="0"/>
          <a:lstStyle/>
          <a:p>
            <a:pPr defTabSz="914400">
              <a:defRPr lang="zh-CN" sz="1400" b="0" i="0" u="none" strike="noStrike" kern="1200" spc="0" baseline="0">
                <a:solidFill>
                  <a:schemeClr val="bg1">
                    <a:lumMod val="65000"/>
                  </a:schemeClr>
                </a:solidFill>
                <a:effectLst/>
                <a:latin typeface="微软雅黑" panose="020B0503020204020204" pitchFamily="34" charset="-122"/>
                <a:ea typeface="微软雅黑" panose="020B0503020204020204" pitchFamily="34" charset="-122"/>
                <a:cs typeface="微软雅黑" panose="020B0503020204020204" pitchFamily="34" charset="-122"/>
                <a:sym typeface="微软雅黑" panose="020B0503020204020204" pitchFamily="34" charset="-122"/>
              </a:defRPr>
            </a:pPr>
            <a:r>
              <a:t>一般公共预算财政拨款支出总体情况</a:t>
            </a:r>
          </a:p>
        </c:rich>
      </c:tx>
      <c:layout>
        <c:manualLayout>
          <c:xMode val="edge"/>
          <c:yMode val="edge"/>
          <c:x val="0.0192056441076561"/>
          <c:y val="0.0308710033076075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0900312532791253"/>
          <c:y val="0.180255753587582"/>
          <c:w val="0.873734694843312"/>
          <c:h val="0.686161352212451"/>
        </c:manualLayout>
      </c:layout>
      <c:barChart>
        <c:barDir val="col"/>
        <c:grouping val="clustered"/>
        <c:varyColors val="0"/>
        <c:ser>
          <c:idx val="3"/>
          <c:order val="0"/>
          <c:tx>
            <c:strRef>
              <c:f>Sheet1!$B$1</c:f>
              <c:strCache>
                <c:ptCount val="1"/>
                <c:pt idx="0">
                  <c:v>2023 年度一般公共预算财政拨款支出</c:v>
                </c:pt>
              </c:strCache>
            </c:strRef>
          </c:tx>
          <c:spPr>
            <a:solidFill>
              <a:srgbClr val="9884F4">
                <a:alpha val="70000"/>
              </a:srgbClr>
            </a:solidFill>
            <a:ln>
              <a:noFill/>
            </a:ln>
            <a:effectLst/>
          </c:spPr>
          <c:invertIfNegative val="0"/>
          <c:dLbls>
            <c:numFmt formatCode="General" sourceLinked="1"/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 forceAA="0"/>
              <a:lstStyle/>
              <a:p>
                <a:pPr>
                  <a:defRPr lang="zh-CN" sz="900" b="0" i="0" u="none" strike="noStrike" kern="1200" baseline="0">
                    <a:solidFill>
                      <a:schemeClr val="bg1"/>
                    </a:solidFill>
                    <a:effectLst/>
                    <a:latin typeface="微软雅黑" panose="020B0503020204020204" pitchFamily="34" charset="-122"/>
                    <a:ea typeface="微软雅黑" panose="020B0503020204020204" pitchFamily="34" charset="-122"/>
                    <a:cs typeface="微软雅黑" panose="020B0503020204020204" pitchFamily="34" charset="-122"/>
                    <a:sym typeface="微软雅黑" panose="020B0503020204020204" pitchFamily="34" charset="-122"/>
                  </a:defRPr>
                </a:pPr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Sheet1!$A$2</c:f>
              <c:numCache>
                <c:formatCode>General</c:formatCode>
                <c:ptCount val="1"/>
              </c:numCache>
            </c:numRef>
          </c:cat>
          <c:val>
            <c:numRef>
              <c:f>Sheet1!$B$2</c:f>
              <c:numCache>
                <c:formatCode>#,##0.00</c:formatCode>
                <c:ptCount val="1"/>
                <c:pt idx="0">
                  <c:v>1965.36</c:v>
                </c:pt>
              </c:numCache>
            </c:numRef>
          </c:val>
        </c:ser>
        <c:ser>
          <c:idx val="4"/>
          <c:order val="1"/>
          <c:tx>
            <c:strRef>
              <c:f>Sheet1!$C$1</c:f>
              <c:strCache>
                <c:ptCount val="1"/>
                <c:pt idx="0">
                  <c:v>2022年度一般公共预算财政拨款支出</c:v>
                </c:pt>
              </c:strCache>
            </c:strRef>
          </c:tx>
          <c:spPr>
            <a:solidFill>
              <a:srgbClr val="93CCE9">
                <a:alpha val="70000"/>
              </a:srgbClr>
            </a:solidFill>
            <a:ln>
              <a:noFill/>
            </a:ln>
            <a:effectLst/>
          </c:spPr>
          <c:invertIfNegative val="0"/>
          <c:dLbls>
            <c:numFmt formatCode="General" sourceLinked="1"/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 forceAA="0"/>
              <a:lstStyle/>
              <a:p>
                <a:pPr>
                  <a:defRPr lang="zh-CN" sz="900" b="0" i="0" u="none" strike="noStrike" kern="1200" baseline="0">
                    <a:solidFill>
                      <a:schemeClr val="bg1"/>
                    </a:solidFill>
                    <a:effectLst/>
                    <a:latin typeface="微软雅黑" panose="020B0503020204020204" pitchFamily="34" charset="-122"/>
                    <a:ea typeface="微软雅黑" panose="020B0503020204020204" pitchFamily="34" charset="-122"/>
                    <a:cs typeface="微软雅黑" panose="020B0503020204020204" pitchFamily="34" charset="-122"/>
                    <a:sym typeface="微软雅黑" panose="020B0503020204020204" pitchFamily="34" charset="-122"/>
                  </a:defRPr>
                </a:pPr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Sheet1!$A$2</c:f>
              <c:numCache>
                <c:formatCode>General</c:formatCode>
                <c:ptCount val="1"/>
              </c:numCache>
            </c:numRef>
          </c:cat>
          <c:val>
            <c:numRef>
              <c:f>Sheet1!$C$2</c:f>
              <c:numCache>
                <c:formatCode>General</c:formatCode>
                <c:ptCount val="1"/>
                <c:pt idx="0">
                  <c:v>1963.35</c:v>
                </c:pt>
              </c:numCache>
            </c:numRef>
          </c:val>
        </c:ser>
        <c:ser>
          <c:idx val="0"/>
          <c:order val="2"/>
          <c:tx>
            <c:strRef>
              <c:f>Sheet1!$D$1</c:f>
              <c:strCache>
                <c:ptCount val="1"/>
                <c:pt idx="0">
                  <c:v>一般公共预算财政拨款支 出增加</c:v>
                </c:pt>
              </c:strCache>
            </c:strRef>
          </c:tx>
          <c:spPr>
            <a:solidFill>
              <a:srgbClr val="9884F4">
                <a:alpha val="70000"/>
              </a:srgbClr>
            </a:solidFill>
            <a:ln>
              <a:noFill/>
            </a:ln>
            <a:effectLst/>
          </c:spPr>
          <c:invertIfNegative val="0"/>
          <c:dLbls>
            <c:numFmt formatCode="General" sourceLinked="1"/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微软雅黑" panose="020B0503020204020204" pitchFamily="34" charset="-122"/>
                    <a:ea typeface="微软雅黑" panose="020B0503020204020204" pitchFamily="34" charset="-122"/>
                    <a:cs typeface="微软雅黑" panose="020B0503020204020204" pitchFamily="34" charset="-122"/>
                    <a:sym typeface="微软雅黑" panose="020B0503020204020204" pitchFamily="34" charset="-122"/>
                  </a:defRPr>
                </a:pPr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Sheet1!$A$2</c:f>
              <c:numCache>
                <c:formatCode>General</c:formatCode>
                <c:ptCount val="1"/>
              </c:numCache>
            </c:numRef>
          </c:cat>
          <c:val>
            <c:numRef>
              <c:f>Sheet1!$D$2</c:f>
              <c:numCache>
                <c:formatCode>General</c:formatCode>
                <c:ptCount val="1"/>
                <c:pt idx="0">
                  <c:v>2.01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20"/>
        <c:overlap val="20"/>
        <c:axId val="686611350"/>
        <c:axId val="739764958"/>
      </c:barChart>
      <c:catAx>
        <c:axId val="686611350"/>
        <c:scaling>
          <c:orientation val="minMax"/>
        </c:scaling>
        <c:delete val="0"/>
        <c:axPos val="b"/>
        <c:majorGridlines>
          <c:spPr>
            <a:ln w="3175" cap="flat" cmpd="sng" algn="ctr">
              <a:solidFill>
                <a:schemeClr val="bg1">
                  <a:lumMod val="85000"/>
                </a:schemeClr>
              </a:solidFill>
              <a:round/>
            </a:ln>
            <a:effectLst/>
          </c:spPr>
        </c:majorGridlines>
        <c:minorGridlines>
          <c:spPr>
            <a:ln w="3175" cap="flat" cmpd="sng" algn="ctr">
              <a:solidFill>
                <a:schemeClr val="bg1">
                  <a:lumMod val="85000"/>
                </a:schemeClr>
              </a:solidFill>
              <a:round/>
            </a:ln>
            <a:effectLst/>
          </c:spPr>
        </c:minorGridlines>
        <c:numFmt formatCode="General" sourceLinked="1"/>
        <c:majorTickMark val="in"/>
        <c:minorTickMark val="none"/>
        <c:tickLblPos val="nextTo"/>
        <c:spPr>
          <a:noFill/>
          <a:ln w="3175" cap="flat" cmpd="sng" algn="ctr">
            <a:noFill/>
            <a:prstDash val="solid"/>
            <a:round/>
          </a:ln>
          <a:effectLst/>
        </c:spPr>
        <c:txPr>
          <a:bodyPr rot="-60000000" spcFirstLastPara="0" vertOverflow="ellipsis" vert="horz" wrap="square" anchor="ctr" anchorCtr="1" forceAA="0"/>
          <a:lstStyle/>
          <a:p>
            <a:pPr>
              <a:defRPr lang="zh-CN" sz="900" b="0" i="0" u="none" strike="noStrike" kern="1200" baseline="0">
                <a:solidFill>
                  <a:schemeClr val="bg1">
                    <a:lumMod val="65000"/>
                  </a:schemeClr>
                </a:solidFill>
                <a:effectLst/>
                <a:latin typeface="微软雅黑" panose="020B0503020204020204" pitchFamily="34" charset="-122"/>
                <a:ea typeface="微软雅黑" panose="020B0503020204020204" pitchFamily="34" charset="-122"/>
                <a:cs typeface="微软雅黑" panose="020B0503020204020204" pitchFamily="34" charset="-122"/>
                <a:sym typeface="微软雅黑" panose="020B0503020204020204" pitchFamily="34" charset="-122"/>
              </a:defRPr>
            </a:pPr>
          </a:p>
        </c:txPr>
        <c:crossAx val="739764958"/>
        <c:crosses val="autoZero"/>
        <c:auto val="1"/>
        <c:lblAlgn val="ctr"/>
        <c:lblOffset val="100"/>
        <c:noMultiLvlLbl val="0"/>
      </c:catAx>
      <c:valAx>
        <c:axId val="739764958"/>
        <c:scaling>
          <c:orientation val="minMax"/>
        </c:scaling>
        <c:delete val="0"/>
        <c:axPos val="l"/>
        <c:majorGridlines>
          <c:spPr>
            <a:ln w="3175" cap="flat" cmpd="sng" algn="ctr">
              <a:solidFill>
                <a:schemeClr val="bg1">
                  <a:lumMod val="85000"/>
                </a:schemeClr>
              </a:solidFill>
              <a:round/>
            </a:ln>
            <a:effectLst/>
          </c:spPr>
        </c:majorGridlines>
        <c:numFmt formatCode="#,##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 forceAA="0"/>
          <a:lstStyle/>
          <a:p>
            <a:pPr>
              <a:defRPr lang="zh-CN" sz="900" b="0" i="0" u="none" strike="noStrike" kern="1200" baseline="0">
                <a:solidFill>
                  <a:schemeClr val="bg1">
                    <a:lumMod val="65000"/>
                  </a:schemeClr>
                </a:solidFill>
                <a:latin typeface="微软雅黑" panose="020B0503020204020204" pitchFamily="34" charset="-122"/>
                <a:ea typeface="微软雅黑" panose="020B0503020204020204" pitchFamily="34" charset="-122"/>
                <a:cs typeface="微软雅黑" panose="020B0503020204020204" pitchFamily="34" charset="-122"/>
                <a:sym typeface="微软雅黑" panose="020B0503020204020204" pitchFamily="34" charset="-122"/>
              </a:defRPr>
            </a:pPr>
          </a:p>
        </c:txPr>
        <c:crossAx val="686611350"/>
        <c:crosses val="autoZero"/>
        <c:crossBetween val="between"/>
      </c:valAx>
      <c:spPr>
        <a:solidFill>
          <a:schemeClr val="bg1"/>
        </a:solidFill>
        <a:ln w="3175">
          <a:noFill/>
        </a:ln>
        <a:effectLst/>
      </c:spPr>
    </c:plotArea>
    <c:legend>
      <c:legendPos val="t"/>
      <c:layout>
        <c:manualLayout>
          <c:xMode val="edge"/>
          <c:yMode val="edge"/>
          <c:x val="0.675767093500846"/>
          <c:y val="0.0486612834679133"/>
          <c:w val="0.29306595796086"/>
          <c:h val="0.103909902252444"/>
        </c:manualLayout>
      </c:layout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 forceAA="0"/>
        <a:lstStyle/>
        <a:p>
          <a:pPr>
            <a:defRPr lang="zh-CN" sz="900" b="0" i="0" u="none" strike="noStrike" kern="1200" baseline="0">
              <a:solidFill>
                <a:schemeClr val="bg1">
                  <a:lumMod val="65000"/>
                </a:schemeClr>
              </a:solidFill>
              <a:effectLst/>
              <a:latin typeface="微软雅黑" panose="020B0503020204020204" pitchFamily="34" charset="-122"/>
              <a:ea typeface="微软雅黑" panose="020B0503020204020204" pitchFamily="34" charset="-122"/>
              <a:cs typeface="微软雅黑" panose="020B0503020204020204" pitchFamily="34" charset="-122"/>
              <a:sym typeface="微软雅黑" panose="020B0503020204020204" pitchFamily="34" charset="-122"/>
            </a:defRPr>
          </a:pPr>
        </a:p>
      </c:txPr>
    </c:legend>
    <c:plotVisOnly val="1"/>
    <c:dispBlanksAs val="gap"/>
    <c:showDLblsOverMax val="0"/>
    <c:extLst>
      <c:ext uri="{0b15fc19-7d7d-44ad-8c2d-2c3a37ce22c3}">
        <chartProps xmlns="https://web.wps.cn/et/2018/main" chartId="{1f98998c-79c0-4078-b4ba-af8c1a583e47}"/>
      </c:ext>
    </c:extLst>
  </c:chart>
  <c:spPr>
    <a:solidFill>
      <a:schemeClr val="bg1"/>
    </a:solidFill>
    <a:ln w="317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>
          <a:latin typeface="微软雅黑" panose="020B0503020204020204" pitchFamily="34" charset="-122"/>
          <a:ea typeface="微软雅黑" panose="020B0503020204020204" pitchFamily="34" charset="-122"/>
          <a:cs typeface="微软雅黑" panose="020B0503020204020204" pitchFamily="34" charset="-122"/>
          <a:sym typeface="微软雅黑" panose="020B0503020204020204" pitchFamily="34" charset="-122"/>
        </a:defRPr>
      </a:pPr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 forceAA="0"/>
          <a:lstStyle/>
          <a:p>
            <a:pPr defTabSz="914400">
              <a:defRPr lang="zh-CN" sz="1400" b="0" i="0" u="none" strike="noStrike" kern="1200" baseline="0">
                <a:solidFill>
                  <a:schemeClr val="tx1">
                    <a:lumMod val="75000"/>
                    <a:lumOff val="25000"/>
                  </a:schemeClr>
                </a:solidFill>
                <a:latin typeface="微软雅黑" panose="020B0503020204020204" pitchFamily="34" charset="-122"/>
                <a:ea typeface="微软雅黑" panose="020B0503020204020204" pitchFamily="34" charset="-122"/>
                <a:cs typeface="微软雅黑" panose="020B0503020204020204" pitchFamily="34" charset="-122"/>
                <a:sym typeface="微软雅黑" panose="020B0503020204020204" pitchFamily="34" charset="-122"/>
              </a:defRPr>
            </a:pPr>
            <a:r>
              <a:t>一般公共预算财政拨款支出结构情况</a:t>
            </a:r>
          </a:p>
        </c:rich>
      </c:tx>
      <c:layout>
        <c:manualLayout>
          <c:xMode val="edge"/>
          <c:yMode val="edge"/>
          <c:x val="0.215148586615124"/>
          <c:y val="0.0291117722056949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30"/>
      <c:rotY val="0"/>
      <c:depthPercent val="10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销售额</c:v>
                </c:pt>
              </c:strCache>
            </c:strRef>
          </c:tx>
          <c:spPr>
            <a:ln w="15875">
              <a:solidFill>
                <a:schemeClr val="bg1"/>
              </a:solidFill>
            </a:ln>
            <a:effectLst/>
            <a:scene3d>
              <a:camera prst="orthographicFront"/>
              <a:lightRig rig="threePt" dir="t"/>
            </a:scene3d>
            <a:sp3d contourW="15875"/>
          </c:spPr>
          <c:explosion val="0"/>
          <c:dPt>
            <c:idx val="0"/>
            <c:bubble3D val="0"/>
            <c:spPr>
              <a:solidFill>
                <a:schemeClr val="accent1">
                  <a:shade val="76667"/>
                </a:schemeClr>
              </a:solidFill>
              <a:ln w="15875">
                <a:solidFill>
                  <a:schemeClr val="bg1"/>
                </a:solidFill>
              </a:ln>
              <a:effectLst/>
              <a:scene3d>
                <a:camera prst="orthographicFront"/>
                <a:lightRig rig="threePt" dir="t"/>
              </a:scene3d>
              <a:sp3d contourW="15875"/>
            </c:spPr>
          </c:dPt>
          <c:dPt>
            <c:idx val="1"/>
            <c:bubble3D val="0"/>
            <c:spPr>
              <a:solidFill>
                <a:schemeClr val="accent2">
                  <a:shade val="76667"/>
                </a:schemeClr>
              </a:solidFill>
              <a:ln w="15875">
                <a:solidFill>
                  <a:schemeClr val="bg1"/>
                </a:solidFill>
              </a:ln>
              <a:effectLst/>
              <a:scene3d>
                <a:camera prst="orthographicFront"/>
                <a:lightRig rig="threePt" dir="t"/>
              </a:scene3d>
              <a:sp3d contourW="15875"/>
            </c:spPr>
          </c:dPt>
          <c:dPt>
            <c:idx val="2"/>
            <c:bubble3D val="0"/>
            <c:spPr>
              <a:solidFill>
                <a:schemeClr val="accent3">
                  <a:shade val="76667"/>
                </a:schemeClr>
              </a:solidFill>
              <a:ln w="15875">
                <a:solidFill>
                  <a:schemeClr val="bg1"/>
                </a:solidFill>
              </a:ln>
              <a:effectLst/>
              <a:scene3d>
                <a:camera prst="orthographicFront"/>
                <a:lightRig rig="threePt" dir="t"/>
              </a:scene3d>
              <a:sp3d contourW="15875"/>
            </c:spPr>
          </c:dPt>
          <c:dPt>
            <c:idx val="3"/>
            <c:bubble3D val="0"/>
            <c:spPr>
              <a:solidFill>
                <a:schemeClr val="accent4">
                  <a:shade val="76667"/>
                </a:schemeClr>
              </a:solidFill>
              <a:ln w="15875">
                <a:solidFill>
                  <a:schemeClr val="bg1"/>
                </a:solidFill>
              </a:ln>
              <a:effectLst/>
              <a:scene3d>
                <a:camera prst="orthographicFront"/>
                <a:lightRig rig="threePt" dir="t"/>
              </a:scene3d>
              <a:sp3d contourW="15875"/>
            </c:spPr>
          </c:dPt>
          <c:dLbls>
            <c:numFmt formatCode="General" sourceLinked="1"/>
            <c:spPr>
              <a:noFill/>
              <a:ln w="6350"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 forceAA="0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微软雅黑" panose="020B0503020204020204" pitchFamily="34" charset="-122"/>
                    <a:ea typeface="微软雅黑" panose="020B0503020204020204" pitchFamily="34" charset="-122"/>
                    <a:cs typeface="微软雅黑" panose="020B0503020204020204" pitchFamily="34" charset="-122"/>
                    <a:sym typeface="微软雅黑" panose="020B0503020204020204" pitchFamily="34" charset="-122"/>
                  </a:defRPr>
                </a:pPr>
              </a:p>
            </c:txPr>
            <c:dLblPos val="outEnd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Sheet1!$A$2:$A$5</c:f>
              <c:strCache>
                <c:ptCount val="4"/>
                <c:pt idx="0">
                  <c:v>教育支出</c:v>
                </c:pt>
                <c:pt idx="1">
                  <c:v>社会保障和就业支出</c:v>
                </c:pt>
                <c:pt idx="2">
                  <c:v>卫生健康支出</c:v>
                </c:pt>
                <c:pt idx="3">
                  <c:v>住房保障支出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1375.02</c:v>
                </c:pt>
                <c:pt idx="1">
                  <c:v>390.05</c:v>
                </c:pt>
                <c:pt idx="2">
                  <c:v>77.06</c:v>
                </c:pt>
                <c:pt idx="3">
                  <c:v>123.24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9d68a6ba-f623-49e7-8898-72e508390854}"/>
      </c:ext>
    </c:extLst>
  </c:chart>
  <c:spPr>
    <a:solidFill>
      <a:schemeClr val="bg1"/>
    </a:solidFill>
    <a:ln w="6350" cap="flat" cmpd="sng" algn="ctr">
      <a:solidFill>
        <a:schemeClr val="tx1">
          <a:lumMod val="50000"/>
          <a:lumOff val="50000"/>
          <a:alpha val="25000"/>
        </a:schemeClr>
      </a:solidFill>
      <a:prstDash val="solid"/>
      <a:round/>
    </a:ln>
    <a:effectLst>
      <a:outerShdw blurRad="63500" dist="37357" dir="2700000" sx="0" sy="0" rotWithShape="0">
        <a:scrgbClr r="0" g="0" b="0"/>
      </a:outerShdw>
    </a:effectLst>
  </c:spPr>
  <c:txPr>
    <a:bodyPr/>
    <a:lstStyle/>
    <a:p>
      <a:pPr>
        <a:defRPr lang="zh-CN">
          <a:solidFill>
            <a:schemeClr val="tx1">
              <a:lumMod val="75000"/>
              <a:lumOff val="25000"/>
            </a:schemeClr>
          </a:solidFill>
          <a:latin typeface="微软雅黑" panose="020B0503020204020204" pitchFamily="34" charset="-122"/>
          <a:ea typeface="微软雅黑" panose="020B0503020204020204" pitchFamily="34" charset="-122"/>
          <a:cs typeface="微软雅黑" panose="020B0503020204020204" pitchFamily="34" charset="-122"/>
          <a:sym typeface="微软雅黑" panose="020B0503020204020204" pitchFamily="34" charset="-122"/>
        </a:defRPr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10013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0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0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gradFill>
        <a:gsLst>
          <a:gs pos="0">
            <a:schemeClr val="phClr">
              <a:lumMod val="40000"/>
              <a:lumOff val="60000"/>
            </a:schemeClr>
          </a:gs>
          <a:gs pos="90000">
            <a:schemeClr val="phClr"/>
          </a:gs>
        </a:gsLst>
        <a:lin ang="5400000" scaled="0"/>
      </a:gradFill>
      <a:ln>
        <a:gradFill>
          <a:gsLst>
            <a:gs pos="0">
              <a:schemeClr val="phClr"/>
            </a:gs>
            <a:gs pos="100000">
              <a:schemeClr val="phClr">
                <a:lumMod val="75000"/>
              </a:schemeClr>
            </a:gs>
          </a:gsLst>
          <a:lin ang="5400000" scaled="1"/>
        </a:gradFill>
      </a:ln>
      <a:effectLst>
        <a:outerShdw blurRad="76200" dist="25400" dir="2700000" algn="tl" rotWithShape="0">
          <a:schemeClr val="phClr">
            <a:lumMod val="50000"/>
            <a:alpha val="30000"/>
          </a:schemeClr>
        </a:outerShdw>
      </a:effectLst>
    </cs:spPr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02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75000"/>
        <a:lumOff val="25000"/>
      </a:schemeClr>
    </cs:fontRef>
    <cs:defRPr sz="1400" b="1" kern="120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30</Pages>
  <Words>6786</Words>
  <Characters>7223</Characters>
  <TotalTime>0</TotalTime>
  <ScaleCrop>false</ScaleCrop>
  <LinksUpToDate>false</LinksUpToDate>
  <CharactersWithSpaces>7820</CharactersWithSpaces>
  <Application>WPS Office_12.1.0.18608_F1E327BC-269C-435d-A152-05C5408002CA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2024-08-07T08:54:00Z</dcterms:created>
  <dc:creator>王志强</dc:creator>
  <cp:lastModifiedBy>Administrator</cp:lastModifiedBy>
  <cp:lastPrinted>2024-08-26T08:47:00Z</cp:lastPrinted>
  <dcterms:modified xsi:type="dcterms:W3CDTF">2024-10-29T06:51:52Z</dcterms:modified>
  <dc:title>2015年度部门决算公开模板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2024-08-26T15:58:15Z</vt:filetime>
  </property>
  <property fmtid="{D5CDD505-2E9C-101B-9397-08002B2CF9AE}" pid="4" name="KSOProductBuildVer">
    <vt:lpwstr>2052-12.1.0.18608</vt:lpwstr>
  </property>
  <property fmtid="{D5CDD505-2E9C-101B-9397-08002B2CF9AE}" pid="5" name="ICV">
    <vt:lpwstr>EAD7893995FE470C9642000593FD06B5_13</vt:lpwstr>
  </property>
</Properties>
</file>