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240" w:lineRule="auto"/>
        <w:jc w:val="both"/>
        <w:textAlignment w:val="auto"/>
        <w:rPr>
          <w:rFonts w:hint="eastAsia"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附件</w:t>
      </w:r>
      <w:r>
        <w:rPr>
          <w:rFonts w:hint="default"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pPr>
        <w:pStyle w:val="2"/>
        <w:spacing w:line="251" w:lineRule="auto"/>
      </w:pPr>
    </w:p>
    <w:p>
      <w:pPr>
        <w:pStyle w:val="2"/>
        <w:spacing w:line="251"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r>
        <w:rPr>
          <w:rFonts w:hint="default" w:ascii="Times New Roman" w:hAnsi="Times New Roman" w:eastAsia="黑体" w:cs="Times New Roman"/>
          <w:snapToGrid/>
          <w:kern w:val="2"/>
          <w:sz w:val="44"/>
          <w:szCs w:val="44"/>
          <w:lang w:eastAsia="zh-CN"/>
        </w:rPr>
        <w:t>2023年度</w:t>
      </w:r>
    </w:p>
    <w:p>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p>
    <w:p>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pPr>
      <w:r>
        <w:rPr>
          <w:rFonts w:hint="eastAsia" w:ascii="Times New Roman" w:hAnsi="Times New Roman" w:eastAsia="黑体" w:cs="Times New Roman"/>
          <w:snapToGrid/>
          <w:kern w:val="2"/>
          <w:sz w:val="44"/>
          <w:szCs w:val="44"/>
          <w:lang w:val="en-US" w:eastAsia="zh-CN"/>
        </w:rPr>
        <w:t>榆树市保寿镇人民政府</w:t>
      </w:r>
      <w:r>
        <w:rPr>
          <w:rFonts w:hint="default" w:ascii="Times New Roman" w:hAnsi="Times New Roman" w:eastAsia="黑体" w:cs="Times New Roman"/>
          <w:snapToGrid/>
          <w:kern w:val="2"/>
          <w:sz w:val="44"/>
          <w:szCs w:val="44"/>
          <w:lang w:eastAsia="zh-CN"/>
        </w:rPr>
        <w:t>部门决算</w:t>
      </w: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widowControl w:val="0"/>
        <w:kinsoku/>
        <w:autoSpaceDE/>
        <w:autoSpaceDN/>
        <w:adjustRightInd/>
        <w:snapToGrid/>
        <w:spacing w:line="240" w:lineRule="auto"/>
        <w:jc w:val="center"/>
        <w:textAlignment w:val="auto"/>
        <w:rPr>
          <w:rFonts w:hint="default" w:ascii="仿宋" w:hAnsi="仿宋" w:eastAsia="仿宋" w:cs="Arial"/>
          <w:snapToGrid/>
          <w:kern w:val="2"/>
          <w:sz w:val="32"/>
          <w:szCs w:val="32"/>
          <w:lang w:eastAsia="zh-CN"/>
        </w:rPr>
      </w:pPr>
      <w:r>
        <w:rPr>
          <w:rFonts w:hint="default" w:ascii="Times New Roman" w:hAnsi="Times New Roman" w:eastAsia="仿宋" w:cs="Times New Roman"/>
          <w:snapToGrid/>
          <w:kern w:val="2"/>
          <w:sz w:val="32"/>
          <w:szCs w:val="32"/>
          <w:lang w:eastAsia="zh-CN"/>
        </w:rPr>
        <w:t>2024</w:t>
      </w:r>
      <w:r>
        <w:rPr>
          <w:rFonts w:hint="default" w:ascii="仿宋" w:hAnsi="仿宋" w:eastAsia="仿宋" w:cs="Arial"/>
          <w:snapToGrid/>
          <w:kern w:val="2"/>
          <w:sz w:val="32"/>
          <w:szCs w:val="32"/>
          <w:lang w:eastAsia="zh-CN"/>
        </w:rPr>
        <w:t>年</w:t>
      </w:r>
      <w:r>
        <w:rPr>
          <w:rFonts w:hint="eastAsia" w:ascii="仿宋" w:hAnsi="仿宋" w:eastAsia="仿宋" w:cs="Arial"/>
          <w:snapToGrid/>
          <w:kern w:val="2"/>
          <w:sz w:val="32"/>
          <w:szCs w:val="32"/>
          <w:lang w:val="en-US" w:eastAsia="zh-CN"/>
        </w:rPr>
        <w:t>10</w:t>
      </w:r>
      <w:r>
        <w:rPr>
          <w:rFonts w:hint="default" w:ascii="仿宋" w:hAnsi="仿宋" w:eastAsia="仿宋" w:cs="Arial"/>
          <w:snapToGrid/>
          <w:kern w:val="2"/>
          <w:sz w:val="32"/>
          <w:szCs w:val="32"/>
          <w:lang w:eastAsia="zh-CN"/>
        </w:rPr>
        <w:t>月</w:t>
      </w:r>
      <w:r>
        <w:rPr>
          <w:rFonts w:hint="eastAsia" w:ascii="仿宋" w:hAnsi="仿宋" w:eastAsia="仿宋" w:cs="Arial"/>
          <w:snapToGrid/>
          <w:kern w:val="2"/>
          <w:sz w:val="32"/>
          <w:szCs w:val="32"/>
          <w:lang w:val="en-US" w:eastAsia="zh-CN"/>
        </w:rPr>
        <w:t>25</w:t>
      </w:r>
      <w:r>
        <w:rPr>
          <w:rFonts w:hint="default" w:ascii="仿宋" w:hAnsi="仿宋" w:eastAsia="仿宋" w:cs="Arial"/>
          <w:snapToGrid/>
          <w:kern w:val="2"/>
          <w:sz w:val="32"/>
          <w:szCs w:val="32"/>
          <w:lang w:eastAsia="zh-CN"/>
        </w:rPr>
        <w:t>日</w:t>
      </w:r>
    </w:p>
    <w:p>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sectPr>
          <w:footerReference r:id="rId3" w:type="default"/>
          <w:pgSz w:w="11907" w:h="16839"/>
          <w:pgMar w:top="1431" w:right="1785" w:bottom="1153" w:left="1785" w:header="0" w:footer="965" w:gutter="0"/>
        </w:sectPr>
      </w:pPr>
    </w:p>
    <w:p>
      <w:pPr>
        <w:pStyle w:val="2"/>
        <w:spacing w:line="289" w:lineRule="auto"/>
      </w:pPr>
    </w:p>
    <w:p>
      <w:pPr>
        <w:pStyle w:val="2"/>
        <w:spacing w:line="290" w:lineRule="auto"/>
      </w:pPr>
    </w:p>
    <w:p>
      <w:pPr>
        <w:spacing w:before="140" w:line="223" w:lineRule="auto"/>
        <w:ind w:left="3502"/>
        <w:outlineLvl w:val="0"/>
        <w:rPr>
          <w:rFonts w:ascii="仿宋" w:hAnsi="仿宋" w:eastAsia="仿宋" w:cs="仿宋"/>
          <w:sz w:val="43"/>
          <w:szCs w:val="43"/>
        </w:rPr>
      </w:pPr>
      <w:r>
        <w:rPr>
          <w:rFonts w:hint="eastAsia" w:ascii="仿宋" w:hAnsi="仿宋" w:eastAsia="仿宋" w:cs="Times New Roman"/>
          <w:snapToGrid/>
          <w:kern w:val="2"/>
          <w:sz w:val="44"/>
          <w:szCs w:val="22"/>
          <w:lang w:eastAsia="zh-CN"/>
        </w:rPr>
        <w:t>目录</w:t>
      </w:r>
    </w:p>
    <w:p>
      <w:pPr>
        <w:pStyle w:val="2"/>
        <w:spacing w:line="341" w:lineRule="auto"/>
      </w:pPr>
    </w:p>
    <w:p>
      <w:pPr>
        <w:pStyle w:val="2"/>
        <w:spacing w:line="342" w:lineRule="auto"/>
      </w:pPr>
    </w:p>
    <w:p>
      <w:pPr>
        <w:spacing w:before="101" w:line="223"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第一部分部门概况</w:t>
      </w:r>
    </w:p>
    <w:p>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一、部门职责</w:t>
      </w:r>
    </w:p>
    <w:p>
      <w:pPr>
        <w:spacing w:before="250" w:line="222"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二、机构设置及部门决算单位构成</w:t>
      </w:r>
    </w:p>
    <w:p>
      <w:pPr>
        <w:spacing w:before="250"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2"/>
          <w:sz w:val="31"/>
          <w:szCs w:val="31"/>
        </w:rPr>
        <w:t>第二部分2023年度部门决算表</w:t>
      </w:r>
    </w:p>
    <w:p>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一、收入支出决算总表</w:t>
      </w:r>
    </w:p>
    <w:p>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二、收入决算表</w:t>
      </w:r>
    </w:p>
    <w:p>
      <w:pPr>
        <w:spacing w:before="249"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三、支出决算表</w:t>
      </w:r>
    </w:p>
    <w:p>
      <w:pPr>
        <w:spacing w:before="250"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四、财政拨款收入支出决算总表</w:t>
      </w:r>
    </w:p>
    <w:p>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五、一般公共预算财政拨款支出决算表</w:t>
      </w:r>
    </w:p>
    <w:p>
      <w:pPr>
        <w:spacing w:before="250"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六、一般公共预算财政拨款基本支出决算明细表</w:t>
      </w:r>
    </w:p>
    <w:p>
      <w:pPr>
        <w:spacing w:before="251"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七、政府性基金预算财政拨款收入支出决算表</w:t>
      </w:r>
    </w:p>
    <w:p>
      <w:pPr>
        <w:spacing w:before="252"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八、国有资本经营预算财政拨款支出决算表</w:t>
      </w:r>
    </w:p>
    <w:p>
      <w:pPr>
        <w:spacing w:before="249"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九、财政拨款“三公”经费支出决算表</w:t>
      </w:r>
    </w:p>
    <w:p>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十、部门预算项目支出绩效自评表</w:t>
      </w:r>
    </w:p>
    <w:p>
      <w:pPr>
        <w:spacing w:before="249"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3"/>
          <w:sz w:val="31"/>
          <w:szCs w:val="31"/>
        </w:rPr>
        <w:t>第三部分2023年度部门决算情况说明</w:t>
      </w:r>
    </w:p>
    <w:p>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一、收入支出决算总体情况说明</w:t>
      </w:r>
    </w:p>
    <w:p>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二、收入决算情况说明</w:t>
      </w:r>
    </w:p>
    <w:p>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三、支出决算情况说明</w:t>
      </w:r>
    </w:p>
    <w:p>
      <w:pPr>
        <w:spacing w:before="249"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四、财政拨款收入支出决算总体情况说明</w:t>
      </w:r>
    </w:p>
    <w:p>
      <w:pPr>
        <w:spacing w:line="223" w:lineRule="auto"/>
        <w:rPr>
          <w:rFonts w:hint="default" w:ascii="Times New Roman" w:hAnsi="Times New Roman" w:eastAsia="仿宋_GB2312" w:cs="Times New Roman"/>
          <w:sz w:val="31"/>
          <w:szCs w:val="31"/>
        </w:rPr>
        <w:sectPr>
          <w:footerReference r:id="rId4" w:type="default"/>
          <w:pgSz w:w="11907" w:h="16839"/>
          <w:pgMar w:top="1431" w:right="1785" w:bottom="1153" w:left="1785" w:header="0" w:footer="965" w:gutter="0"/>
        </w:sectPr>
      </w:pPr>
    </w:p>
    <w:p>
      <w:pPr>
        <w:spacing w:before="15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pPr>
        <w:spacing w:before="249"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pPr>
        <w:spacing w:before="250"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七、政府性基金预算财政拨款收入支出决算情况说明</w:t>
      </w:r>
    </w:p>
    <w:p>
      <w:pPr>
        <w:spacing w:before="251"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八、国有资本经营预算财政拨款支出决算情况说明</w:t>
      </w:r>
    </w:p>
    <w:p>
      <w:pPr>
        <w:spacing w:before="250"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pPr>
        <w:spacing w:before="249" w:line="224"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十、绩效评价情况说明</w:t>
      </w:r>
    </w:p>
    <w:p>
      <w:pPr>
        <w:spacing w:before="248"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十一、其他重要事项情况说明</w:t>
      </w:r>
    </w:p>
    <w:p>
      <w:pPr>
        <w:spacing w:before="250" w:line="224"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第四部分名词解释</w:t>
      </w:r>
    </w:p>
    <w:p>
      <w:pPr>
        <w:spacing w:line="224" w:lineRule="auto"/>
        <w:rPr>
          <w:rFonts w:hint="default" w:ascii="Times New Roman" w:hAnsi="Times New Roman" w:eastAsia="仿宋_GB2312" w:cs="Times New Roman"/>
          <w:sz w:val="31"/>
          <w:szCs w:val="31"/>
        </w:rPr>
        <w:sectPr>
          <w:footerReference r:id="rId5" w:type="default"/>
          <w:pgSz w:w="11907" w:h="16839"/>
          <w:pgMar w:top="1431" w:right="1785" w:bottom="1153" w:left="1785" w:header="0" w:footer="965" w:gutter="0"/>
        </w:sectPr>
      </w:pPr>
    </w:p>
    <w:p>
      <w:pPr>
        <w:pStyle w:val="2"/>
        <w:spacing w:line="328" w:lineRule="auto"/>
      </w:pPr>
    </w:p>
    <w:p>
      <w:pPr>
        <w:pStyle w:val="2"/>
        <w:spacing w:line="328" w:lineRule="auto"/>
      </w:pPr>
    </w:p>
    <w:p>
      <w:pPr>
        <w:spacing w:before="189" w:line="443" w:lineRule="exact"/>
        <w:ind w:left="2215"/>
        <w:outlineLvl w:val="0"/>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pacing w:val="1"/>
          <w:position w:val="-2"/>
          <w:sz w:val="44"/>
          <w:szCs w:val="44"/>
        </w:rPr>
        <w:t>第一部分部门概况</w:t>
      </w:r>
    </w:p>
    <w:p>
      <w:pPr>
        <w:pStyle w:val="2"/>
        <w:spacing w:line="314" w:lineRule="auto"/>
        <w:rPr>
          <w:rFonts w:hint="default" w:ascii="Times New Roman" w:hAnsi="Times New Roman" w:eastAsia="仿宋_GB2312" w:cs="Times New Roman"/>
        </w:rPr>
      </w:pPr>
    </w:p>
    <w:p>
      <w:pPr>
        <w:pStyle w:val="2"/>
        <w:spacing w:line="314" w:lineRule="auto"/>
        <w:rPr>
          <w:rFonts w:hint="default" w:ascii="Times New Roman" w:hAnsi="Times New Roman" w:eastAsia="仿宋_GB2312" w:cs="Times New Roman"/>
        </w:rPr>
      </w:pPr>
    </w:p>
    <w:p>
      <w:pPr>
        <w:pStyle w:val="2"/>
        <w:spacing w:line="315" w:lineRule="auto"/>
        <w:rPr>
          <w:rFonts w:hint="default" w:ascii="Times New Roman" w:hAnsi="Times New Roman" w:eastAsia="仿宋_GB2312" w:cs="Times New Roman"/>
        </w:rPr>
      </w:pPr>
    </w:p>
    <w:p>
      <w:pPr>
        <w:spacing w:before="101" w:line="224" w:lineRule="auto"/>
        <w:ind w:left="751"/>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一、部门主要职责</w:t>
      </w:r>
    </w:p>
    <w:p>
      <w:pPr>
        <w:ind w:firstLine="640" w:firstLineChars="200"/>
        <w:rPr>
          <w:rFonts w:hint="eastAsia" w:ascii="仿宋" w:hAnsi="仿宋" w:eastAsia="仿宋"/>
          <w:sz w:val="32"/>
        </w:rPr>
      </w:pPr>
      <w:r>
        <w:rPr>
          <w:rFonts w:hint="eastAsia" w:ascii="仿宋_GB2312" w:hAnsi="仿宋" w:eastAsia="仿宋_GB2312"/>
          <w:sz w:val="32"/>
          <w:szCs w:val="32"/>
        </w:rPr>
        <w:t>根据所承担的工作职责和编制总量，设置内部机构13个：</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（一）党政服务科：承担党务、会务、文书、信息、保密、档案、财务、机构编制、人事、群团、后勤保障等工作，配合做好党群服务平台工作。承办镇</w:t>
      </w:r>
      <w:r>
        <w:rPr>
          <w:rFonts w:hint="eastAsia" w:ascii="仿宋_GB2312" w:hAnsi="仿宋" w:eastAsia="仿宋_GB2312"/>
          <w:sz w:val="32"/>
          <w:szCs w:val="32"/>
        </w:rPr>
        <w:t>党</w:t>
      </w:r>
      <w:r>
        <w:rPr>
          <w:rFonts w:hint="eastAsia" w:ascii="仿宋_GB2312" w:hAnsi="仿宋_GB2312" w:eastAsia="仿宋_GB2312" w:cs="仿宋_GB2312"/>
          <w:sz w:val="32"/>
        </w:rPr>
        <w:t>委、政府交办的其他事项。</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二）农村经济服务科：协助机关开展农村“三资”管理规范化建设相关工作；负责辖区内土地承包管理、农民负担、农村集体资产管理、农村财务管理、农村审计管理、农村经济统计管理、农村合作基金管理、农业产业化经营管理、农村合作经济组织管理、农村经济体系管理、农经政策宣传等相关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（三）农业服务科：负责农业技术推广计划并组织实施，负责农业技术的宣传科普知识；负责农机化生产、新技术推广、安全等相关工作；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（四）畜牧兽医服务科：负责辖区内畜禽养殖发展、养殖协会发展工作；负责辖区内畜禽防疫、免疫、治疗、疫情监测、动物采血、上报工作；负责辖区内动物繁殖改良工作。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五）林业服务科：负责宣传贯彻执行《中华人民共和国森林法》的各项林业方针政策；负责辖区内林业资源的保护、发展、利用；按照林业政策和技术规程指导、组织集体、个人开展林业生产经营活动；负责各项林业统计和资源档案管理；组织义务植树活动，开展技术咨询服务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六）水利服务科：负责管理当地水资源；协助上级业务部门完成水利规划、小型水利工程的计划安排、小型水利建设项目的前期工作；负责组织落实群众性小型水利工程设施和小流域治理各种形式的承包责任制，组织签订承包合同等相关工作。负责水土保持和农田基本建设等相关事务性工作；协助机关完成水资源开发保护利用、防汛抗旱相关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七）文体旅游服务科：负责开展群众文化、体育活动、繁荣本辖区文化特色产业、活跃群众业余文化活动；负责辖区内广播电视产业的发展运营相关工作；协助机关完成辖区内旅游开发相关工作；协助机关完成辖区内文物保护相关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八）自然资源服务科：负责开展农田保护工作，具体实施基本农田划区定界；负责镇村公共设施、公益事业建设用地批准后的组织实施；协助开展本辖区的土地资源调查、土地分等定级、土地登记、土地统计、地籍档案管理、土地证书发放和土地动态监测工作；协助开展矿山生态环境的保护工作以及地质灾害监测、防治工作，组织对地质灾害点的监测、预报工作；负责生态环境保护服务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（九）退役军人服务科：负责辖区内退役军人就业创业扶持、走访慰问、帮扶解困、信访接待、权益保障等服务性、保障性、事务性延伸性工作，配合做好便民服务平台工作。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（十）平安建设服务科（应急保障科）：协助机关完成平安建设、综合治理、维护稳定、安全生产管理、应急管理、“多网合一”等相关事务性工作，配合做好社会治安综合治理平台工作。</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十一）社会事务服务科（人口与计划生育服务科）：协助机关完成社会事务和公共服务等工作；负责辖区内人口与计划生育、卫生健康、红十字会、社会救助、人力资源、社保、医保、残疾人服务等相关事务性工作；负责行政审批服务窗口具体</w:t>
      </w:r>
      <w:r>
        <w:rPr>
          <w:rFonts w:hint="eastAsia" w:ascii="仿宋_GB2312" w:hAnsi="仿宋" w:eastAsia="仿宋_GB2312"/>
          <w:sz w:val="32"/>
          <w:szCs w:val="32"/>
        </w:rPr>
        <w:t>事务性</w:t>
      </w:r>
      <w:r>
        <w:rPr>
          <w:rFonts w:hint="eastAsia" w:ascii="仿宋_GB2312" w:hAnsi="仿宋_GB2312" w:eastAsia="仿宋_GB2312" w:cs="仿宋_GB2312"/>
          <w:sz w:val="32"/>
        </w:rPr>
        <w:t>工作，配合做好便民服务平台工作。</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（十二）执法保障科：为综合行政执法相关事务性工作提供服务保障。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（十三）城乡建设服务科：协助机关完成住房和城乡建设、园林绿化、道路交通、人民防空、市容和环境卫生服务等工作，配合做好便民服务平台工作。</w:t>
      </w:r>
    </w:p>
    <w:p>
      <w:pPr>
        <w:spacing w:before="251"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二、机构设置及部门决算单位构成</w:t>
      </w:r>
    </w:p>
    <w:p>
      <w:pPr>
        <w:ind w:firstLine="640" w:firstLineChars="200"/>
        <w:rPr>
          <w:rFonts w:ascii="仿宋" w:hAnsi="仿宋" w:eastAsia="仿宋"/>
          <w:sz w:val="32"/>
        </w:rPr>
      </w:pPr>
      <w:r>
        <w:rPr>
          <w:rFonts w:hint="eastAsia" w:ascii="仿宋" w:hAnsi="仿宋" w:eastAsia="仿宋"/>
          <w:sz w:val="32"/>
        </w:rPr>
        <w:t>根据上述职责，</w:t>
      </w:r>
      <w:r>
        <w:rPr>
          <w:rFonts w:hint="eastAsia" w:ascii="仿宋" w:hAnsi="仿宋" w:eastAsia="仿宋"/>
          <w:sz w:val="32"/>
          <w:szCs w:val="30"/>
        </w:rPr>
        <w:t>榆树市保寿镇人民政府</w:t>
      </w:r>
      <w:r>
        <w:rPr>
          <w:rFonts w:hint="eastAsia" w:ascii="仿宋" w:hAnsi="仿宋" w:eastAsia="仿宋"/>
          <w:sz w:val="32"/>
        </w:rPr>
        <w:t>内设</w:t>
      </w:r>
      <w:r>
        <w:rPr>
          <w:rFonts w:ascii="仿宋" w:hAnsi="仿宋" w:eastAsia="仿宋"/>
          <w:sz w:val="32"/>
          <w:szCs w:val="30"/>
        </w:rPr>
        <w:t>13</w:t>
      </w:r>
      <w:r>
        <w:rPr>
          <w:rFonts w:hint="eastAsia" w:ascii="仿宋" w:hAnsi="仿宋" w:eastAsia="仿宋"/>
          <w:sz w:val="32"/>
        </w:rPr>
        <w:t>个机构，分别为……。</w:t>
      </w:r>
    </w:p>
    <w:p>
      <w:pPr>
        <w:numPr>
          <w:ilvl w:val="0"/>
          <w:numId w:val="1"/>
        </w:numPr>
        <w:rPr>
          <w:rFonts w:ascii="仿宋_GB2312" w:hAnsi="仿宋_GB2312" w:eastAsia="仿宋_GB2312" w:cs="仿宋_GB2312"/>
          <w:sz w:val="32"/>
        </w:rPr>
      </w:pPr>
      <w:bookmarkStart w:id="0" w:name="_Hlk85099248"/>
      <w:r>
        <w:rPr>
          <w:rFonts w:hint="eastAsia" w:ascii="仿宋_GB2312" w:hAnsi="仿宋_GB2312" w:eastAsia="仿宋_GB2312" w:cs="仿宋_GB2312"/>
          <w:sz w:val="32"/>
        </w:rPr>
        <w:t>党政服务科</w:t>
      </w:r>
    </w:p>
    <w:p>
      <w:pPr>
        <w:numPr>
          <w:ilvl w:val="0"/>
          <w:numId w:val="1"/>
        </w:numPr>
        <w:rPr>
          <w:rFonts w:ascii="仿宋" w:hAnsi="仿宋" w:eastAsia="仿宋"/>
          <w:sz w:val="32"/>
        </w:rPr>
      </w:pPr>
      <w:r>
        <w:rPr>
          <w:rFonts w:hint="eastAsia" w:ascii="仿宋_GB2312" w:hAnsi="仿宋_GB2312" w:eastAsia="仿宋_GB2312" w:cs="仿宋_GB2312"/>
          <w:sz w:val="32"/>
        </w:rPr>
        <w:t>农村经济服务科</w:t>
      </w:r>
    </w:p>
    <w:p>
      <w:pPr>
        <w:numPr>
          <w:ilvl w:val="0"/>
          <w:numId w:val="1"/>
        </w:numPr>
        <w:rPr>
          <w:rFonts w:ascii="仿宋" w:hAnsi="仿宋" w:eastAsia="仿宋"/>
          <w:sz w:val="32"/>
        </w:rPr>
      </w:pPr>
      <w:r>
        <w:rPr>
          <w:rFonts w:hint="eastAsia" w:ascii="仿宋_GB2312" w:hAnsi="仿宋_GB2312" w:eastAsia="仿宋_GB2312" w:cs="仿宋_GB2312"/>
          <w:sz w:val="32"/>
        </w:rPr>
        <w:t>农业服务科</w:t>
      </w:r>
    </w:p>
    <w:p>
      <w:pPr>
        <w:numPr>
          <w:ilvl w:val="0"/>
          <w:numId w:val="1"/>
        </w:numPr>
        <w:rPr>
          <w:rFonts w:ascii="仿宋" w:hAnsi="仿宋" w:eastAsia="仿宋"/>
          <w:sz w:val="32"/>
        </w:rPr>
      </w:pPr>
      <w:r>
        <w:rPr>
          <w:rFonts w:hint="eastAsia" w:ascii="仿宋_GB2312" w:hAnsi="仿宋_GB2312" w:eastAsia="仿宋_GB2312" w:cs="仿宋_GB2312"/>
          <w:sz w:val="32"/>
        </w:rPr>
        <w:t>畜牧兽医服务科</w:t>
      </w:r>
    </w:p>
    <w:p>
      <w:pPr>
        <w:numPr>
          <w:ilvl w:val="0"/>
          <w:numId w:val="1"/>
        </w:numPr>
        <w:rPr>
          <w:rFonts w:ascii="仿宋" w:hAnsi="仿宋" w:eastAsia="仿宋"/>
          <w:sz w:val="32"/>
        </w:rPr>
      </w:pPr>
      <w:r>
        <w:rPr>
          <w:rFonts w:hint="eastAsia" w:ascii="仿宋_GB2312" w:hAnsi="仿宋_GB2312" w:eastAsia="仿宋_GB2312" w:cs="仿宋_GB2312"/>
          <w:sz w:val="32"/>
        </w:rPr>
        <w:t>林业服务科</w:t>
      </w:r>
    </w:p>
    <w:p>
      <w:pPr>
        <w:numPr>
          <w:ilvl w:val="0"/>
          <w:numId w:val="1"/>
        </w:numPr>
        <w:rPr>
          <w:rFonts w:ascii="仿宋" w:hAnsi="仿宋" w:eastAsia="仿宋"/>
          <w:sz w:val="32"/>
        </w:rPr>
      </w:pPr>
      <w:r>
        <w:rPr>
          <w:rFonts w:hint="eastAsia" w:ascii="仿宋_GB2312" w:hAnsi="仿宋_GB2312" w:eastAsia="仿宋_GB2312" w:cs="仿宋_GB2312"/>
          <w:sz w:val="32"/>
        </w:rPr>
        <w:t>水利服务科</w:t>
      </w:r>
    </w:p>
    <w:p>
      <w:pPr>
        <w:numPr>
          <w:ilvl w:val="0"/>
          <w:numId w:val="1"/>
        </w:numPr>
        <w:rPr>
          <w:rFonts w:ascii="仿宋" w:hAnsi="仿宋" w:eastAsia="仿宋"/>
          <w:sz w:val="32"/>
        </w:rPr>
      </w:pPr>
      <w:r>
        <w:rPr>
          <w:rFonts w:hint="eastAsia" w:ascii="仿宋_GB2312" w:hAnsi="仿宋_GB2312" w:eastAsia="仿宋_GB2312" w:cs="仿宋_GB2312"/>
          <w:sz w:val="32"/>
        </w:rPr>
        <w:t>文体旅游服务科</w:t>
      </w:r>
    </w:p>
    <w:p>
      <w:pPr>
        <w:numPr>
          <w:ilvl w:val="0"/>
          <w:numId w:val="1"/>
        </w:numPr>
        <w:rPr>
          <w:rFonts w:ascii="仿宋" w:hAnsi="仿宋" w:eastAsia="仿宋"/>
          <w:sz w:val="32"/>
        </w:rPr>
      </w:pPr>
      <w:r>
        <w:rPr>
          <w:rFonts w:hint="eastAsia" w:ascii="仿宋_GB2312" w:hAnsi="仿宋_GB2312" w:eastAsia="仿宋_GB2312" w:cs="仿宋_GB2312"/>
          <w:sz w:val="32"/>
        </w:rPr>
        <w:t>自然资源服务科</w:t>
      </w:r>
    </w:p>
    <w:p>
      <w:pPr>
        <w:numPr>
          <w:ilvl w:val="0"/>
          <w:numId w:val="1"/>
        </w:numPr>
        <w:rPr>
          <w:rFonts w:ascii="仿宋" w:hAnsi="仿宋" w:eastAsia="仿宋"/>
          <w:sz w:val="32"/>
        </w:rPr>
      </w:pPr>
      <w:r>
        <w:rPr>
          <w:rFonts w:hint="eastAsia" w:ascii="仿宋_GB2312" w:hAnsi="仿宋_GB2312" w:eastAsia="仿宋_GB2312" w:cs="仿宋_GB2312"/>
          <w:sz w:val="32"/>
        </w:rPr>
        <w:t>退役军人服务科</w:t>
      </w:r>
    </w:p>
    <w:p>
      <w:pPr>
        <w:numPr>
          <w:ilvl w:val="0"/>
          <w:numId w:val="1"/>
        </w:numPr>
        <w:rPr>
          <w:rFonts w:ascii="仿宋" w:hAnsi="仿宋" w:eastAsia="仿宋"/>
          <w:sz w:val="32"/>
        </w:rPr>
      </w:pPr>
      <w:r>
        <w:rPr>
          <w:rFonts w:hint="eastAsia" w:ascii="仿宋_GB2312" w:hAnsi="仿宋_GB2312" w:eastAsia="仿宋_GB2312" w:cs="仿宋_GB2312"/>
          <w:sz w:val="32"/>
        </w:rPr>
        <w:t>平安建设服务科</w:t>
      </w:r>
    </w:p>
    <w:p>
      <w:pPr>
        <w:numPr>
          <w:ilvl w:val="0"/>
          <w:numId w:val="1"/>
        </w:numPr>
        <w:rPr>
          <w:rFonts w:ascii="仿宋" w:hAnsi="仿宋" w:eastAsia="仿宋"/>
          <w:sz w:val="32"/>
        </w:rPr>
      </w:pPr>
      <w:r>
        <w:rPr>
          <w:rFonts w:hint="eastAsia" w:ascii="仿宋_GB2312" w:hAnsi="仿宋_GB2312" w:eastAsia="仿宋_GB2312" w:cs="仿宋_GB2312"/>
          <w:sz w:val="32"/>
        </w:rPr>
        <w:t>社会事务服务科</w:t>
      </w:r>
    </w:p>
    <w:p>
      <w:pPr>
        <w:numPr>
          <w:ilvl w:val="0"/>
          <w:numId w:val="1"/>
        </w:numPr>
        <w:rPr>
          <w:rFonts w:ascii="仿宋" w:hAnsi="仿宋" w:eastAsia="仿宋"/>
          <w:sz w:val="32"/>
        </w:rPr>
      </w:pPr>
      <w:r>
        <w:rPr>
          <w:rFonts w:hint="eastAsia" w:ascii="仿宋_GB2312" w:hAnsi="仿宋_GB2312" w:eastAsia="仿宋_GB2312" w:cs="仿宋_GB2312"/>
          <w:sz w:val="32"/>
        </w:rPr>
        <w:t>执法保障科</w:t>
      </w:r>
    </w:p>
    <w:p>
      <w:pPr>
        <w:numPr>
          <w:ilvl w:val="0"/>
          <w:numId w:val="1"/>
        </w:numPr>
        <w:rPr>
          <w:rFonts w:hint="eastAsia" w:ascii="仿宋" w:hAnsi="仿宋" w:eastAsia="仿宋"/>
          <w:sz w:val="32"/>
        </w:rPr>
      </w:pPr>
      <w:r>
        <w:rPr>
          <w:rFonts w:hint="eastAsia" w:ascii="仿宋_GB2312" w:hAnsi="仿宋_GB2312" w:eastAsia="仿宋_GB2312" w:cs="仿宋_GB2312"/>
          <w:sz w:val="32"/>
        </w:rPr>
        <w:t>城乡建设服务科</w:t>
      </w:r>
    </w:p>
    <w:bookmarkEnd w:id="0"/>
    <w:p>
      <w:pPr>
        <w:ind w:firstLine="640" w:firstLineChars="200"/>
        <w:rPr>
          <w:rFonts w:hint="eastAsia" w:ascii="仿宋" w:hAnsi="仿宋" w:eastAsia="仿宋"/>
          <w:sz w:val="32"/>
        </w:rPr>
      </w:pPr>
      <w:r>
        <w:rPr>
          <w:rFonts w:hint="eastAsia" w:ascii="仿宋" w:hAnsi="仿宋" w:eastAsia="仿宋"/>
          <w:sz w:val="32"/>
        </w:rPr>
        <w:t>纳入</w:t>
      </w:r>
      <w:r>
        <w:rPr>
          <w:rFonts w:hint="eastAsia" w:ascii="仿宋" w:hAnsi="仿宋" w:eastAsia="仿宋"/>
          <w:sz w:val="32"/>
          <w:szCs w:val="30"/>
        </w:rPr>
        <w:t>榆树市保寿镇人民政府</w:t>
      </w:r>
      <w:r>
        <w:rPr>
          <w:rFonts w:ascii="宋体" w:hAnsi="宋体"/>
          <w:sz w:val="32"/>
        </w:rPr>
        <w:t>202</w:t>
      </w:r>
      <w:r>
        <w:rPr>
          <w:rFonts w:hint="eastAsia" w:ascii="宋体" w:hAnsi="宋体"/>
          <w:sz w:val="32"/>
          <w:lang w:val="en-US" w:eastAsia="zh-CN"/>
        </w:rPr>
        <w:t>2</w:t>
      </w:r>
      <w:r>
        <w:rPr>
          <w:rFonts w:hint="eastAsia" w:ascii="仿宋" w:hAnsi="仿宋" w:eastAsia="仿宋"/>
          <w:sz w:val="32"/>
        </w:rPr>
        <w:t>年度部门决算编制范围的单位包括：</w:t>
      </w:r>
    </w:p>
    <w:p>
      <w:pPr>
        <w:ind w:firstLine="640" w:firstLineChars="200"/>
        <w:rPr>
          <w:rFonts w:hint="eastAsia" w:ascii="仿宋" w:hAnsi="仿宋" w:eastAsia="仿宋"/>
          <w:sz w:val="32"/>
        </w:rPr>
      </w:pPr>
      <w:r>
        <w:rPr>
          <w:rFonts w:ascii="仿宋" w:hAnsi="仿宋" w:eastAsia="仿宋"/>
          <w:sz w:val="32"/>
        </w:rPr>
        <w:t>1</w:t>
      </w:r>
      <w:r>
        <w:rPr>
          <w:rFonts w:hint="eastAsia" w:ascii="仿宋" w:hAnsi="仿宋" w:eastAsia="仿宋"/>
          <w:sz w:val="32"/>
        </w:rPr>
        <w:t>、</w:t>
      </w:r>
      <w:r>
        <w:rPr>
          <w:rFonts w:hint="eastAsia" w:ascii="仿宋" w:hAnsi="仿宋" w:eastAsia="仿宋"/>
          <w:sz w:val="32"/>
          <w:szCs w:val="30"/>
        </w:rPr>
        <w:t>榆树市保寿镇人民政府部门标准名称）</w:t>
      </w:r>
      <w:r>
        <w:rPr>
          <w:rFonts w:hint="eastAsia" w:ascii="仿宋" w:hAnsi="仿宋" w:eastAsia="仿宋"/>
          <w:sz w:val="32"/>
        </w:rPr>
        <w:t>本级</w:t>
      </w:r>
    </w:p>
    <w:p>
      <w:pPr>
        <w:numPr>
          <w:ilvl w:val="0"/>
          <w:numId w:val="2"/>
        </w:numPr>
        <w:rPr>
          <w:rFonts w:ascii="仿宋" w:hAnsi="仿宋" w:eastAsia="仿宋"/>
          <w:sz w:val="32"/>
        </w:rPr>
      </w:pPr>
      <w:r>
        <w:rPr>
          <w:rFonts w:hint="eastAsia" w:ascii="仿宋" w:hAnsi="仿宋" w:eastAsia="仿宋"/>
          <w:sz w:val="32"/>
        </w:rPr>
        <w:t>榆树市保寿镇财经济办公室</w:t>
      </w:r>
    </w:p>
    <w:p>
      <w:pPr>
        <w:numPr>
          <w:ilvl w:val="0"/>
          <w:numId w:val="2"/>
        </w:numPr>
        <w:rPr>
          <w:rFonts w:ascii="仿宋" w:hAnsi="仿宋" w:eastAsia="仿宋"/>
          <w:sz w:val="32"/>
        </w:rPr>
      </w:pPr>
      <w:r>
        <w:rPr>
          <w:rFonts w:hint="eastAsia" w:ascii="仿宋_GB2312" w:hAnsi="仿宋_GB2312" w:eastAsia="仿宋_GB2312" w:cs="仿宋_GB2312"/>
          <w:sz w:val="32"/>
        </w:rPr>
        <w:t>农村经济服务科</w:t>
      </w:r>
    </w:p>
    <w:p>
      <w:pPr>
        <w:numPr>
          <w:ilvl w:val="0"/>
          <w:numId w:val="2"/>
        </w:numPr>
        <w:rPr>
          <w:rFonts w:ascii="仿宋" w:hAnsi="仿宋" w:eastAsia="仿宋"/>
          <w:sz w:val="32"/>
        </w:rPr>
      </w:pPr>
      <w:r>
        <w:rPr>
          <w:rFonts w:hint="eastAsia" w:ascii="仿宋_GB2312" w:hAnsi="仿宋_GB2312" w:eastAsia="仿宋_GB2312" w:cs="仿宋_GB2312"/>
          <w:sz w:val="32"/>
        </w:rPr>
        <w:t>农业服务科</w:t>
      </w:r>
    </w:p>
    <w:p>
      <w:pPr>
        <w:numPr>
          <w:ilvl w:val="0"/>
          <w:numId w:val="2"/>
        </w:numPr>
        <w:rPr>
          <w:rFonts w:ascii="仿宋" w:hAnsi="仿宋" w:eastAsia="仿宋"/>
          <w:sz w:val="32"/>
        </w:rPr>
      </w:pPr>
      <w:r>
        <w:rPr>
          <w:rFonts w:hint="eastAsia" w:ascii="仿宋_GB2312" w:hAnsi="仿宋_GB2312" w:eastAsia="仿宋_GB2312" w:cs="仿宋_GB2312"/>
          <w:sz w:val="32"/>
        </w:rPr>
        <w:t>畜牧兽医服务科</w:t>
      </w:r>
    </w:p>
    <w:p>
      <w:pPr>
        <w:numPr>
          <w:ilvl w:val="0"/>
          <w:numId w:val="2"/>
        </w:numPr>
        <w:rPr>
          <w:rFonts w:ascii="仿宋" w:hAnsi="仿宋" w:eastAsia="仿宋"/>
          <w:sz w:val="32"/>
        </w:rPr>
      </w:pPr>
      <w:r>
        <w:rPr>
          <w:rFonts w:hint="eastAsia" w:ascii="仿宋_GB2312" w:hAnsi="仿宋_GB2312" w:eastAsia="仿宋_GB2312" w:cs="仿宋_GB2312"/>
          <w:sz w:val="32"/>
        </w:rPr>
        <w:t>林业服务科</w:t>
      </w:r>
    </w:p>
    <w:p>
      <w:pPr>
        <w:numPr>
          <w:ilvl w:val="0"/>
          <w:numId w:val="2"/>
        </w:numPr>
        <w:rPr>
          <w:rFonts w:ascii="仿宋" w:hAnsi="仿宋" w:eastAsia="仿宋"/>
          <w:sz w:val="32"/>
        </w:rPr>
      </w:pPr>
      <w:r>
        <w:rPr>
          <w:rFonts w:hint="eastAsia" w:ascii="仿宋_GB2312" w:hAnsi="仿宋_GB2312" w:eastAsia="仿宋_GB2312" w:cs="仿宋_GB2312"/>
          <w:sz w:val="32"/>
        </w:rPr>
        <w:t>水利服务科</w:t>
      </w:r>
    </w:p>
    <w:p>
      <w:pPr>
        <w:numPr>
          <w:ilvl w:val="0"/>
          <w:numId w:val="2"/>
        </w:numPr>
        <w:rPr>
          <w:rFonts w:ascii="仿宋" w:hAnsi="仿宋" w:eastAsia="仿宋"/>
          <w:sz w:val="32"/>
        </w:rPr>
      </w:pPr>
      <w:r>
        <w:rPr>
          <w:rFonts w:hint="eastAsia" w:ascii="仿宋_GB2312" w:hAnsi="仿宋_GB2312" w:eastAsia="仿宋_GB2312" w:cs="仿宋_GB2312"/>
          <w:sz w:val="32"/>
        </w:rPr>
        <w:t>文体旅游服务科</w:t>
      </w:r>
    </w:p>
    <w:p>
      <w:pPr>
        <w:numPr>
          <w:ilvl w:val="0"/>
          <w:numId w:val="2"/>
        </w:numPr>
        <w:rPr>
          <w:rFonts w:ascii="仿宋" w:hAnsi="仿宋" w:eastAsia="仿宋"/>
          <w:sz w:val="32"/>
        </w:rPr>
      </w:pPr>
      <w:r>
        <w:rPr>
          <w:rFonts w:hint="eastAsia" w:ascii="仿宋_GB2312" w:hAnsi="仿宋_GB2312" w:eastAsia="仿宋_GB2312" w:cs="仿宋_GB2312"/>
          <w:sz w:val="32"/>
        </w:rPr>
        <w:t>平安建设服务科</w:t>
      </w:r>
    </w:p>
    <w:p>
      <w:pPr>
        <w:numPr>
          <w:ilvl w:val="0"/>
          <w:numId w:val="2"/>
        </w:numPr>
        <w:rPr>
          <w:rFonts w:ascii="仿宋" w:hAnsi="仿宋" w:eastAsia="仿宋"/>
          <w:sz w:val="32"/>
        </w:rPr>
      </w:pPr>
      <w:r>
        <w:rPr>
          <w:rFonts w:hint="eastAsia" w:ascii="仿宋_GB2312" w:hAnsi="仿宋_GB2312" w:eastAsia="仿宋_GB2312" w:cs="仿宋_GB2312"/>
          <w:sz w:val="32"/>
        </w:rPr>
        <w:t>社会事务服务科</w:t>
      </w:r>
    </w:p>
    <w:p>
      <w:pPr>
        <w:numPr>
          <w:ilvl w:val="0"/>
          <w:numId w:val="2"/>
        </w:numPr>
        <w:rPr>
          <w:rFonts w:hint="eastAsia" w:ascii="仿宋" w:hAnsi="仿宋" w:eastAsia="仿宋"/>
          <w:sz w:val="32"/>
        </w:rPr>
      </w:pPr>
      <w:r>
        <w:rPr>
          <w:rFonts w:hint="eastAsia" w:ascii="仿宋_GB2312" w:hAnsi="仿宋_GB2312" w:eastAsia="仿宋_GB2312" w:cs="仿宋_GB2312"/>
          <w:sz w:val="32"/>
        </w:rPr>
        <w:t>城乡建设服务科</w:t>
      </w:r>
    </w:p>
    <w:p>
      <w:pPr>
        <w:pStyle w:val="2"/>
        <w:spacing w:line="328" w:lineRule="auto"/>
        <w:rPr>
          <w:rFonts w:hint="default" w:ascii="Times New Roman" w:hAnsi="Times New Roman" w:eastAsia="仿宋_GB2312" w:cs="Times New Roman"/>
        </w:rPr>
      </w:pPr>
    </w:p>
    <w:p>
      <w:pPr>
        <w:pStyle w:val="2"/>
        <w:spacing w:line="328" w:lineRule="auto"/>
        <w:rPr>
          <w:rFonts w:hint="default" w:ascii="Times New Roman" w:hAnsi="Times New Roman" w:eastAsia="仿宋_GB2312" w:cs="Times New Roman"/>
        </w:rPr>
      </w:pPr>
    </w:p>
    <w:p>
      <w:pPr>
        <w:spacing w:before="189" w:line="186" w:lineRule="auto"/>
        <w:ind w:left="1142"/>
        <w:rPr>
          <w:rFonts w:hint="default" w:ascii="Times New Roman" w:hAnsi="Times New Roman" w:eastAsia="仿宋_GB2312" w:cs="Times New Roman"/>
          <w:b/>
          <w:bCs/>
          <w:sz w:val="44"/>
          <w:szCs w:val="44"/>
        </w:rPr>
      </w:pPr>
    </w:p>
    <w:p>
      <w:pPr>
        <w:spacing w:before="189" w:line="186" w:lineRule="auto"/>
        <w:ind w:left="1142"/>
        <w:rPr>
          <w:rFonts w:hint="default" w:ascii="Times New Roman" w:hAnsi="Times New Roman" w:eastAsia="仿宋_GB2312" w:cs="Times New Roman"/>
          <w:b/>
          <w:bCs/>
          <w:sz w:val="44"/>
          <w:szCs w:val="44"/>
        </w:rPr>
      </w:pPr>
    </w:p>
    <w:p>
      <w:pPr>
        <w:spacing w:before="189" w:line="186" w:lineRule="auto"/>
        <w:ind w:left="1142"/>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第二部分</w:t>
      </w:r>
      <w:r>
        <w:rPr>
          <w:rFonts w:hint="default" w:ascii="Times New Roman" w:hAnsi="Times New Roman" w:eastAsia="仿宋_GB2312" w:cs="Times New Roman"/>
          <w:b/>
          <w:bCs/>
          <w:sz w:val="43"/>
          <w:szCs w:val="43"/>
        </w:rPr>
        <w:t>2023</w:t>
      </w:r>
      <w:r>
        <w:rPr>
          <w:rFonts w:hint="default" w:ascii="Times New Roman" w:hAnsi="Times New Roman" w:eastAsia="仿宋_GB2312" w:cs="Times New Roman"/>
          <w:b/>
          <w:bCs/>
          <w:sz w:val="44"/>
          <w:szCs w:val="44"/>
        </w:rPr>
        <w:t>年度部门决算表</w:t>
      </w:r>
    </w:p>
    <w:p>
      <w:pPr>
        <w:pStyle w:val="2"/>
        <w:spacing w:line="268" w:lineRule="auto"/>
        <w:rPr>
          <w:rFonts w:hint="default" w:ascii="Times New Roman" w:hAnsi="Times New Roman" w:eastAsia="仿宋_GB2312" w:cs="Times New Roman"/>
        </w:rPr>
      </w:pPr>
    </w:p>
    <w:p>
      <w:pPr>
        <w:pStyle w:val="2"/>
        <w:spacing w:line="268" w:lineRule="auto"/>
        <w:rPr>
          <w:rFonts w:hint="default" w:ascii="Times New Roman" w:hAnsi="Times New Roman" w:eastAsia="仿宋_GB2312" w:cs="Times New Roman"/>
        </w:rPr>
      </w:pPr>
    </w:p>
    <w:p>
      <w:pPr>
        <w:pStyle w:val="2"/>
        <w:spacing w:line="268" w:lineRule="auto"/>
        <w:rPr>
          <w:rFonts w:hint="default" w:ascii="Times New Roman" w:hAnsi="Times New Roman" w:eastAsia="仿宋_GB2312" w:cs="Times New Roman"/>
        </w:rPr>
      </w:pPr>
    </w:p>
    <w:p>
      <w:pPr>
        <w:spacing w:before="100"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一、收入支出决算总表</w:t>
      </w:r>
    </w:p>
    <w:p>
      <w:pPr>
        <w:spacing w:before="101" w:line="5918" w:lineRule="exact"/>
        <w:ind w:firstLine="194"/>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85105" cy="2871470"/>
            <wp:effectExtent l="0" t="0" r="10795" b="5080"/>
            <wp:docPr id="2" name="图片 2" descr="1730179415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30179415469"/>
                    <pic:cNvPicPr>
                      <a:picLocks noChangeAspect="1"/>
                    </pic:cNvPicPr>
                  </pic:nvPicPr>
                  <pic:blipFill>
                    <a:blip r:embed="rId20"/>
                    <a:stretch>
                      <a:fillRect/>
                    </a:stretch>
                  </pic:blipFill>
                  <pic:spPr>
                    <a:xfrm>
                      <a:off x="0" y="0"/>
                      <a:ext cx="5285105" cy="2871470"/>
                    </a:xfrm>
                    <a:prstGeom prst="rect">
                      <a:avLst/>
                    </a:prstGeom>
                  </pic:spPr>
                </pic:pic>
              </a:graphicData>
            </a:graphic>
          </wp:inline>
        </w:drawing>
      </w:r>
    </w:p>
    <w:p>
      <w:pPr>
        <w:pStyle w:val="2"/>
        <w:spacing w:line="337" w:lineRule="auto"/>
        <w:rPr>
          <w:rFonts w:hint="default" w:ascii="Times New Roman" w:hAnsi="Times New Roman" w:eastAsia="仿宋_GB2312" w:cs="Times New Roman"/>
        </w:rPr>
      </w:pPr>
    </w:p>
    <w:p>
      <w:pPr>
        <w:pStyle w:val="2"/>
        <w:spacing w:line="338" w:lineRule="auto"/>
        <w:rPr>
          <w:rFonts w:hint="default" w:ascii="Times New Roman" w:hAnsi="Times New Roman" w:eastAsia="仿宋_GB2312" w:cs="Times New Roman"/>
        </w:rPr>
      </w:pPr>
    </w:p>
    <w:p>
      <w:pPr>
        <w:spacing w:line="224" w:lineRule="auto"/>
        <w:rPr>
          <w:rFonts w:hint="default" w:ascii="Times New Roman" w:hAnsi="Times New Roman" w:eastAsia="仿宋_GB2312" w:cs="Times New Roman"/>
          <w:sz w:val="31"/>
          <w:szCs w:val="31"/>
        </w:rPr>
        <w:sectPr>
          <w:footerReference r:id="rId6" w:type="default"/>
          <w:pgSz w:w="11907" w:h="16839"/>
          <w:pgMar w:top="1431" w:right="1785" w:bottom="1150" w:left="1785" w:header="0" w:footer="965" w:gutter="0"/>
        </w:sectPr>
      </w:pPr>
    </w:p>
    <w:p>
      <w:pPr>
        <w:pStyle w:val="2"/>
        <w:spacing w:line="339" w:lineRule="auto"/>
        <w:rPr>
          <w:rFonts w:hint="default" w:ascii="Times New Roman" w:hAnsi="Times New Roman" w:eastAsia="仿宋_GB2312" w:cs="Times New Roman"/>
        </w:rPr>
      </w:pPr>
    </w:p>
    <w:p>
      <w:pPr>
        <w:pStyle w:val="2"/>
        <w:spacing w:line="340" w:lineRule="auto"/>
        <w:rPr>
          <w:rFonts w:hint="default" w:ascii="Times New Roman" w:hAnsi="Times New Roman" w:eastAsia="仿宋_GB2312" w:cs="Times New Roman"/>
        </w:rPr>
      </w:pPr>
    </w:p>
    <w:p>
      <w:pPr>
        <w:spacing w:before="101" w:line="224" w:lineRule="auto"/>
        <w:ind w:left="672"/>
        <w:rPr>
          <w:rFonts w:hint="default" w:ascii="Times New Roman" w:hAnsi="Times New Roman" w:eastAsia="仿宋_GB2312" w:cs="Times New Roman"/>
          <w:b/>
          <w:bCs/>
          <w:sz w:val="31"/>
          <w:szCs w:val="31"/>
        </w:rPr>
      </w:pPr>
      <w:r>
        <w:rPr>
          <w:rFonts w:hint="eastAsia" w:ascii="Times New Roman" w:hAnsi="Times New Roman" w:eastAsia="仿宋_GB2312" w:cs="Times New Roman"/>
          <w:lang w:eastAsia="zh-CN"/>
        </w:rPr>
        <w:drawing>
          <wp:anchor distT="0" distB="0" distL="114300" distR="114300" simplePos="0" relativeHeight="251659264" behindDoc="0" locked="0" layoutInCell="1" allowOverlap="1">
            <wp:simplePos x="0" y="0"/>
            <wp:positionH relativeFrom="column">
              <wp:posOffset>511810</wp:posOffset>
            </wp:positionH>
            <wp:positionV relativeFrom="paragraph">
              <wp:posOffset>391160</wp:posOffset>
            </wp:positionV>
            <wp:extent cx="4402455" cy="6883400"/>
            <wp:effectExtent l="0" t="0" r="17145" b="12700"/>
            <wp:wrapTopAndBottom/>
            <wp:docPr id="3" name="图片 3" descr="1730179435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30179435392"/>
                    <pic:cNvPicPr>
                      <a:picLocks noChangeAspect="1"/>
                    </pic:cNvPicPr>
                  </pic:nvPicPr>
                  <pic:blipFill>
                    <a:blip r:embed="rId21"/>
                    <a:stretch>
                      <a:fillRect/>
                    </a:stretch>
                  </pic:blipFill>
                  <pic:spPr>
                    <a:xfrm>
                      <a:off x="0" y="0"/>
                      <a:ext cx="4402455" cy="6883400"/>
                    </a:xfrm>
                    <a:prstGeom prst="rect">
                      <a:avLst/>
                    </a:prstGeom>
                  </pic:spPr>
                </pic:pic>
              </a:graphicData>
            </a:graphic>
          </wp:anchor>
        </w:drawing>
      </w:r>
      <w:r>
        <w:rPr>
          <w:rFonts w:hint="default" w:ascii="Times New Roman" w:hAnsi="Times New Roman" w:eastAsia="仿宋_GB2312" w:cs="Times New Roman"/>
          <w:b/>
          <w:bCs/>
          <w:spacing w:val="7"/>
          <w:sz w:val="31"/>
          <w:szCs w:val="31"/>
        </w:rPr>
        <w:t>二、收入决算表</w:t>
      </w:r>
    </w:p>
    <w:p>
      <w:pPr>
        <w:pStyle w:val="2"/>
        <w:spacing w:line="339" w:lineRule="auto"/>
        <w:rPr>
          <w:rFonts w:hint="default" w:ascii="Times New Roman" w:hAnsi="Times New Roman" w:eastAsia="仿宋_GB2312" w:cs="Times New Roman"/>
        </w:rPr>
      </w:pPr>
    </w:p>
    <w:p>
      <w:pPr>
        <w:pStyle w:val="2"/>
        <w:spacing w:line="340" w:lineRule="auto"/>
        <w:rPr>
          <w:rFonts w:hint="default" w:ascii="Times New Roman" w:hAnsi="Times New Roman" w:eastAsia="仿宋_GB2312" w:cs="Times New Roman"/>
        </w:rPr>
      </w:pPr>
    </w:p>
    <w:p>
      <w:pPr>
        <w:spacing w:before="101" w:line="224" w:lineRule="auto"/>
        <w:ind w:left="674"/>
        <w:rPr>
          <w:rFonts w:hint="default" w:ascii="Times New Roman" w:hAnsi="Times New Roman" w:eastAsia="仿宋_GB2312" w:cs="Times New Roman"/>
          <w:b/>
          <w:bCs/>
          <w:spacing w:val="7"/>
          <w:sz w:val="31"/>
          <w:szCs w:val="31"/>
        </w:rPr>
      </w:pPr>
    </w:p>
    <w:p>
      <w:pPr>
        <w:spacing w:before="101" w:line="224" w:lineRule="auto"/>
        <w:ind w:left="674"/>
        <w:rPr>
          <w:rFonts w:hint="default" w:ascii="Times New Roman" w:hAnsi="Times New Roman" w:eastAsia="仿宋_GB2312" w:cs="Times New Roman"/>
          <w:b/>
          <w:bCs/>
          <w:spacing w:val="7"/>
          <w:sz w:val="31"/>
          <w:szCs w:val="31"/>
        </w:rPr>
      </w:pPr>
    </w:p>
    <w:p>
      <w:pPr>
        <w:spacing w:before="101" w:line="224" w:lineRule="auto"/>
        <w:ind w:left="674"/>
        <w:rPr>
          <w:rFonts w:hint="default" w:ascii="Times New Roman" w:hAnsi="Times New Roman" w:eastAsia="仿宋_GB2312" w:cs="Times New Roman"/>
          <w:b/>
          <w:bCs/>
          <w:spacing w:val="7"/>
          <w:sz w:val="31"/>
          <w:szCs w:val="31"/>
        </w:rPr>
      </w:pPr>
    </w:p>
    <w:p>
      <w:pPr>
        <w:spacing w:before="101" w:line="224" w:lineRule="auto"/>
        <w:ind w:left="674"/>
        <w:rPr>
          <w:rFonts w:hint="default" w:ascii="Times New Roman" w:hAnsi="Times New Roman" w:eastAsia="仿宋_GB2312" w:cs="Times New Roman"/>
          <w:sz w:val="31"/>
          <w:szCs w:val="31"/>
        </w:rPr>
        <w:sectPr>
          <w:footerReference r:id="rId7" w:type="default"/>
          <w:pgSz w:w="11907" w:h="16839"/>
          <w:pgMar w:top="1431" w:right="1785" w:bottom="1150" w:left="1785" w:header="0" w:footer="965" w:gutter="0"/>
        </w:sectPr>
      </w:pPr>
      <w:r>
        <w:rPr>
          <w:rFonts w:hint="eastAsia" w:ascii="Times New Roman" w:hAnsi="Times New Roman" w:eastAsia="仿宋_GB2312" w:cs="Times New Roman"/>
          <w:lang w:eastAsia="zh-CN"/>
        </w:rPr>
        <w:drawing>
          <wp:anchor distT="0" distB="0" distL="114300" distR="114300" simplePos="0" relativeHeight="251660288" behindDoc="0" locked="0" layoutInCell="1" allowOverlap="1">
            <wp:simplePos x="0" y="0"/>
            <wp:positionH relativeFrom="column">
              <wp:posOffset>455930</wp:posOffset>
            </wp:positionH>
            <wp:positionV relativeFrom="paragraph">
              <wp:posOffset>481965</wp:posOffset>
            </wp:positionV>
            <wp:extent cx="4373880" cy="7550785"/>
            <wp:effectExtent l="0" t="0" r="7620" b="12065"/>
            <wp:wrapTopAndBottom/>
            <wp:docPr id="4" name="图片 4" descr="1730179507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30179507671"/>
                    <pic:cNvPicPr>
                      <a:picLocks noChangeAspect="1"/>
                    </pic:cNvPicPr>
                  </pic:nvPicPr>
                  <pic:blipFill>
                    <a:blip r:embed="rId22"/>
                    <a:stretch>
                      <a:fillRect/>
                    </a:stretch>
                  </pic:blipFill>
                  <pic:spPr>
                    <a:xfrm>
                      <a:off x="0" y="0"/>
                      <a:ext cx="4373880" cy="7550785"/>
                    </a:xfrm>
                    <a:prstGeom prst="rect">
                      <a:avLst/>
                    </a:prstGeom>
                  </pic:spPr>
                </pic:pic>
              </a:graphicData>
            </a:graphic>
          </wp:anchor>
        </w:drawing>
      </w:r>
      <w:r>
        <w:rPr>
          <w:rFonts w:hint="default" w:ascii="Times New Roman" w:hAnsi="Times New Roman" w:eastAsia="仿宋_GB2312" w:cs="Times New Roman"/>
          <w:b/>
          <w:bCs/>
          <w:spacing w:val="7"/>
          <w:sz w:val="31"/>
          <w:szCs w:val="31"/>
        </w:rPr>
        <w:t>三、支出决算表</w:t>
      </w:r>
    </w:p>
    <w:p>
      <w:pPr>
        <w:spacing w:before="101" w:line="224" w:lineRule="auto"/>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四、财政拨款收入支出决算总表</w:t>
      </w:r>
    </w:p>
    <w:p>
      <w:pPr>
        <w:pStyle w:val="2"/>
        <w:spacing w:line="245" w:lineRule="auto"/>
        <w:rPr>
          <w:rFonts w:hint="default" w:ascii="Times New Roman" w:hAnsi="Times New Roman" w:eastAsia="仿宋_GB2312" w:cs="Times New Roman"/>
        </w:rPr>
      </w:pPr>
    </w:p>
    <w:p>
      <w:pPr>
        <w:spacing w:line="4378" w:lineRule="exact"/>
        <w:ind w:firstLine="14"/>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90185" cy="2315210"/>
            <wp:effectExtent l="0" t="0" r="5715" b="8890"/>
            <wp:docPr id="5" name="图片 5" descr="1730179543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30179543497"/>
                    <pic:cNvPicPr>
                      <a:picLocks noChangeAspect="1"/>
                    </pic:cNvPicPr>
                  </pic:nvPicPr>
                  <pic:blipFill>
                    <a:blip r:embed="rId23"/>
                    <a:stretch>
                      <a:fillRect/>
                    </a:stretch>
                  </pic:blipFill>
                  <pic:spPr>
                    <a:xfrm>
                      <a:off x="0" y="0"/>
                      <a:ext cx="5290185" cy="2315210"/>
                    </a:xfrm>
                    <a:prstGeom prst="rect">
                      <a:avLst/>
                    </a:prstGeom>
                  </pic:spPr>
                </pic:pic>
              </a:graphicData>
            </a:graphic>
          </wp:inline>
        </w:drawing>
      </w:r>
    </w:p>
    <w:p>
      <w:pPr>
        <w:spacing w:line="224" w:lineRule="auto"/>
        <w:rPr>
          <w:rFonts w:hint="default" w:ascii="Times New Roman" w:hAnsi="Times New Roman" w:eastAsia="仿宋_GB2312" w:cs="Times New Roman"/>
          <w:sz w:val="31"/>
          <w:szCs w:val="31"/>
        </w:rPr>
        <w:sectPr>
          <w:footerReference r:id="rId8" w:type="default"/>
          <w:pgSz w:w="11907" w:h="16839"/>
          <w:pgMar w:top="1431" w:right="1785" w:bottom="1153" w:left="1785" w:header="0" w:footer="965" w:gutter="0"/>
        </w:sectPr>
      </w:pPr>
    </w:p>
    <w:p>
      <w:pPr>
        <w:pStyle w:val="2"/>
        <w:spacing w:line="339" w:lineRule="auto"/>
        <w:rPr>
          <w:rFonts w:hint="default" w:ascii="Times New Roman" w:hAnsi="Times New Roman" w:eastAsia="仿宋_GB2312" w:cs="Times New Roman"/>
        </w:rPr>
      </w:pPr>
    </w:p>
    <w:p>
      <w:pPr>
        <w:pStyle w:val="2"/>
        <w:spacing w:line="339" w:lineRule="auto"/>
        <w:rPr>
          <w:rFonts w:hint="default" w:ascii="Times New Roman" w:hAnsi="Times New Roman" w:eastAsia="仿宋_GB2312" w:cs="Times New Roman"/>
        </w:rPr>
      </w:pPr>
    </w:p>
    <w:p>
      <w:pPr>
        <w:spacing w:before="100" w:line="224" w:lineRule="auto"/>
        <w:ind w:left="676"/>
        <w:rPr>
          <w:rFonts w:hint="default" w:ascii="Times New Roman" w:hAnsi="Times New Roman" w:eastAsia="仿宋_GB2312" w:cs="Times New Roman"/>
          <w:b/>
          <w:bCs/>
          <w:sz w:val="31"/>
          <w:szCs w:val="31"/>
        </w:rPr>
      </w:pPr>
      <w:r>
        <w:rPr>
          <w:rFonts w:hint="eastAsia" w:ascii="Times New Roman" w:hAnsi="Times New Roman" w:eastAsia="仿宋_GB2312" w:cs="Times New Roman"/>
          <w:sz w:val="31"/>
          <w:szCs w:val="31"/>
          <w:lang w:eastAsia="zh-CN"/>
        </w:rPr>
        <w:drawing>
          <wp:anchor distT="0" distB="0" distL="114300" distR="114300" simplePos="0" relativeHeight="251661312" behindDoc="0" locked="0" layoutInCell="1" allowOverlap="1">
            <wp:simplePos x="0" y="0"/>
            <wp:positionH relativeFrom="column">
              <wp:posOffset>901700</wp:posOffset>
            </wp:positionH>
            <wp:positionV relativeFrom="paragraph">
              <wp:posOffset>490855</wp:posOffset>
            </wp:positionV>
            <wp:extent cx="3649345" cy="8274050"/>
            <wp:effectExtent l="0" t="0" r="8255" b="12700"/>
            <wp:wrapTopAndBottom/>
            <wp:docPr id="6" name="图片 6" descr="1730179564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30179564618"/>
                    <pic:cNvPicPr>
                      <a:picLocks noChangeAspect="1"/>
                    </pic:cNvPicPr>
                  </pic:nvPicPr>
                  <pic:blipFill>
                    <a:blip r:embed="rId24"/>
                    <a:stretch>
                      <a:fillRect/>
                    </a:stretch>
                  </pic:blipFill>
                  <pic:spPr>
                    <a:xfrm>
                      <a:off x="0" y="0"/>
                      <a:ext cx="3649345" cy="8274050"/>
                    </a:xfrm>
                    <a:prstGeom prst="rect">
                      <a:avLst/>
                    </a:prstGeom>
                  </pic:spPr>
                </pic:pic>
              </a:graphicData>
            </a:graphic>
          </wp:anchor>
        </w:drawing>
      </w:r>
      <w:r>
        <w:rPr>
          <w:rFonts w:hint="default" w:ascii="Times New Roman" w:hAnsi="Times New Roman" w:eastAsia="仿宋_GB2312" w:cs="Times New Roman"/>
          <w:b/>
          <w:bCs/>
          <w:spacing w:val="8"/>
          <w:sz w:val="31"/>
          <w:szCs w:val="31"/>
        </w:rPr>
        <w:t>五、一般公共预算财政拨款支出决算表</w:t>
      </w:r>
    </w:p>
    <w:p>
      <w:pPr>
        <w:spacing w:line="361" w:lineRule="auto"/>
        <w:rPr>
          <w:rFonts w:hint="eastAsia" w:ascii="Times New Roman" w:hAnsi="Times New Roman" w:eastAsia="仿宋_GB2312" w:cs="Times New Roman"/>
          <w:sz w:val="31"/>
          <w:szCs w:val="31"/>
          <w:lang w:eastAsia="zh-CN"/>
        </w:rPr>
        <w:sectPr>
          <w:footerReference r:id="rId9" w:type="default"/>
          <w:pgSz w:w="11907" w:h="16839"/>
          <w:pgMar w:top="1431" w:right="1785" w:bottom="1153" w:left="1785" w:header="0" w:footer="965" w:gutter="0"/>
        </w:sectPr>
      </w:pPr>
    </w:p>
    <w:p>
      <w:pPr>
        <w:pStyle w:val="2"/>
        <w:spacing w:line="339" w:lineRule="auto"/>
        <w:rPr>
          <w:rFonts w:hint="default" w:ascii="Times New Roman" w:hAnsi="Times New Roman" w:eastAsia="仿宋_GB2312" w:cs="Times New Roman"/>
        </w:rPr>
      </w:pPr>
    </w:p>
    <w:p>
      <w:pPr>
        <w:pStyle w:val="2"/>
        <w:spacing w:line="339" w:lineRule="auto"/>
        <w:rPr>
          <w:rFonts w:hint="default" w:ascii="Times New Roman" w:hAnsi="Times New Roman" w:eastAsia="仿宋_GB2312" w:cs="Times New Roman"/>
        </w:rPr>
      </w:pPr>
    </w:p>
    <w:p>
      <w:pPr>
        <w:spacing w:before="100" w:line="224" w:lineRule="auto"/>
        <w:ind w:left="677"/>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六、一般公共预算财政拨款基本支出决算明细表</w:t>
      </w:r>
    </w:p>
    <w:p>
      <w:pPr>
        <w:spacing w:before="234" w:line="5964" w:lineRule="exact"/>
        <w:ind w:firstLine="237"/>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88280" cy="3111500"/>
            <wp:effectExtent l="0" t="0" r="7620" b="12700"/>
            <wp:docPr id="11" name="图片 11" descr="1730183316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30183316131"/>
                    <pic:cNvPicPr>
                      <a:picLocks noChangeAspect="1"/>
                    </pic:cNvPicPr>
                  </pic:nvPicPr>
                  <pic:blipFill>
                    <a:blip r:embed="rId25"/>
                    <a:stretch>
                      <a:fillRect/>
                    </a:stretch>
                  </pic:blipFill>
                  <pic:spPr>
                    <a:xfrm>
                      <a:off x="0" y="0"/>
                      <a:ext cx="5288280" cy="3111500"/>
                    </a:xfrm>
                    <a:prstGeom prst="rect">
                      <a:avLst/>
                    </a:prstGeom>
                  </pic:spPr>
                </pic:pic>
              </a:graphicData>
            </a:graphic>
          </wp:inline>
        </w:drawing>
      </w:r>
    </w:p>
    <w:p>
      <w:pPr>
        <w:spacing w:line="361" w:lineRule="auto"/>
        <w:rPr>
          <w:rFonts w:hint="default" w:ascii="Times New Roman" w:hAnsi="Times New Roman" w:eastAsia="仿宋_GB2312" w:cs="Times New Roman"/>
          <w:sz w:val="31"/>
          <w:szCs w:val="31"/>
        </w:rPr>
        <w:sectPr>
          <w:footerReference r:id="rId10" w:type="default"/>
          <w:pgSz w:w="11907" w:h="16839"/>
          <w:pgMar w:top="1431" w:right="1785" w:bottom="1153" w:left="1785" w:header="0" w:footer="965" w:gutter="0"/>
        </w:sectPr>
      </w:pPr>
    </w:p>
    <w:p>
      <w:pPr>
        <w:pStyle w:val="2"/>
        <w:spacing w:line="339" w:lineRule="auto"/>
        <w:rPr>
          <w:rFonts w:hint="default" w:ascii="Times New Roman" w:hAnsi="Times New Roman" w:eastAsia="仿宋_GB2312" w:cs="Times New Roman"/>
        </w:rPr>
      </w:pPr>
    </w:p>
    <w:p>
      <w:pPr>
        <w:pStyle w:val="2"/>
        <w:spacing w:line="340" w:lineRule="auto"/>
        <w:rPr>
          <w:rFonts w:hint="default" w:ascii="Times New Roman" w:hAnsi="Times New Roman" w:eastAsia="仿宋_GB2312" w:cs="Times New Roman"/>
        </w:rPr>
      </w:pPr>
    </w:p>
    <w:p>
      <w:pPr>
        <w:spacing w:before="101" w:line="224" w:lineRule="auto"/>
        <w:ind w:left="666"/>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七、政府性基金预算财政拨款收入支出决算表</w:t>
      </w:r>
    </w:p>
    <w:p>
      <w:pPr>
        <w:spacing w:before="235" w:line="4714" w:lineRule="exact"/>
        <w:ind w:firstLine="240"/>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89550" cy="2207895"/>
            <wp:effectExtent l="0" t="0" r="6350" b="1905"/>
            <wp:docPr id="8" name="图片 8" descr="173017962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30179624250"/>
                    <pic:cNvPicPr>
                      <a:picLocks noChangeAspect="1"/>
                    </pic:cNvPicPr>
                  </pic:nvPicPr>
                  <pic:blipFill>
                    <a:blip r:embed="rId26"/>
                    <a:stretch>
                      <a:fillRect/>
                    </a:stretch>
                  </pic:blipFill>
                  <pic:spPr>
                    <a:xfrm>
                      <a:off x="0" y="0"/>
                      <a:ext cx="5289550" cy="2207895"/>
                    </a:xfrm>
                    <a:prstGeom prst="rect">
                      <a:avLst/>
                    </a:prstGeom>
                  </pic:spPr>
                </pic:pic>
              </a:graphicData>
            </a:graphic>
          </wp:inline>
        </w:drawing>
      </w:r>
    </w:p>
    <w:p>
      <w:pPr>
        <w:spacing w:line="364" w:lineRule="auto"/>
        <w:rPr>
          <w:rFonts w:hint="default" w:ascii="Times New Roman" w:hAnsi="Times New Roman" w:eastAsia="仿宋_GB2312" w:cs="Times New Roman"/>
          <w:sz w:val="31"/>
          <w:szCs w:val="31"/>
        </w:rPr>
        <w:sectPr>
          <w:footerReference r:id="rId11" w:type="default"/>
          <w:pgSz w:w="11907" w:h="16839"/>
          <w:pgMar w:top="1431" w:right="1785" w:bottom="1153" w:left="1785" w:header="0" w:footer="965" w:gutter="0"/>
        </w:sectPr>
      </w:pPr>
    </w:p>
    <w:p>
      <w:pPr>
        <w:pStyle w:val="2"/>
        <w:spacing w:line="339" w:lineRule="auto"/>
        <w:rPr>
          <w:rFonts w:hint="default" w:ascii="Times New Roman" w:hAnsi="Times New Roman" w:eastAsia="仿宋_GB2312" w:cs="Times New Roman"/>
        </w:rPr>
      </w:pPr>
    </w:p>
    <w:p>
      <w:pPr>
        <w:pStyle w:val="2"/>
        <w:spacing w:line="340" w:lineRule="auto"/>
        <w:rPr>
          <w:rFonts w:hint="default" w:ascii="Times New Roman" w:hAnsi="Times New Roman" w:eastAsia="仿宋_GB2312" w:cs="Times New Roman"/>
        </w:rPr>
      </w:pPr>
    </w:p>
    <w:p>
      <w:pPr>
        <w:spacing w:before="101" w:line="224" w:lineRule="auto"/>
        <w:ind w:left="667"/>
        <w:rPr>
          <w:rFonts w:hint="eastAsia" w:ascii="Times New Roman" w:hAnsi="Times New Roman" w:eastAsia="仿宋_GB2312" w:cs="Times New Roman"/>
          <w:lang w:eastAsia="zh-CN"/>
        </w:rPr>
      </w:pPr>
      <w:r>
        <w:rPr>
          <w:rFonts w:hint="default" w:ascii="Times New Roman" w:hAnsi="Times New Roman" w:eastAsia="仿宋_GB2312" w:cs="Times New Roman"/>
          <w:b/>
          <w:bCs/>
          <w:spacing w:val="8"/>
          <w:sz w:val="31"/>
          <w:szCs w:val="31"/>
        </w:rPr>
        <w:t>八、国有资本经营预算财政拨款支出决算表</w:t>
      </w:r>
      <w:r>
        <w:rPr>
          <w:rFonts w:hint="eastAsia" w:ascii="Times New Roman" w:hAnsi="Times New Roman" w:eastAsia="仿宋_GB2312" w:cs="Times New Roman"/>
          <w:lang w:eastAsia="zh-CN"/>
        </w:rPr>
        <w:drawing>
          <wp:anchor distT="0" distB="0" distL="114300" distR="114300" simplePos="0" relativeHeight="251662336" behindDoc="0" locked="0" layoutInCell="1" allowOverlap="1">
            <wp:simplePos x="0" y="0"/>
            <wp:positionH relativeFrom="column">
              <wp:posOffset>103505</wp:posOffset>
            </wp:positionH>
            <wp:positionV relativeFrom="paragraph">
              <wp:posOffset>495935</wp:posOffset>
            </wp:positionV>
            <wp:extent cx="5289550" cy="2965450"/>
            <wp:effectExtent l="0" t="0" r="6350" b="6350"/>
            <wp:wrapTopAndBottom/>
            <wp:docPr id="9" name="图片 9" descr="1730179643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30179643297"/>
                    <pic:cNvPicPr>
                      <a:picLocks noChangeAspect="1"/>
                    </pic:cNvPicPr>
                  </pic:nvPicPr>
                  <pic:blipFill>
                    <a:blip r:embed="rId27"/>
                    <a:stretch>
                      <a:fillRect/>
                    </a:stretch>
                  </pic:blipFill>
                  <pic:spPr>
                    <a:xfrm>
                      <a:off x="0" y="0"/>
                      <a:ext cx="5289550" cy="2965450"/>
                    </a:xfrm>
                    <a:prstGeom prst="rect">
                      <a:avLst/>
                    </a:prstGeom>
                  </pic:spPr>
                </pic:pic>
              </a:graphicData>
            </a:graphic>
          </wp:anchor>
        </w:drawing>
      </w:r>
    </w:p>
    <w:p>
      <w:pPr>
        <w:pStyle w:val="2"/>
        <w:spacing w:line="253" w:lineRule="auto"/>
        <w:rPr>
          <w:rFonts w:hint="default" w:ascii="Times New Roman" w:hAnsi="Times New Roman" w:eastAsia="仿宋_GB2312" w:cs="Times New Roman"/>
        </w:rPr>
      </w:pPr>
    </w:p>
    <w:p>
      <w:pPr>
        <w:pStyle w:val="2"/>
        <w:spacing w:line="253" w:lineRule="auto"/>
        <w:rPr>
          <w:rFonts w:hint="default" w:ascii="Times New Roman" w:hAnsi="Times New Roman" w:eastAsia="仿宋_GB2312" w:cs="Times New Roman"/>
        </w:rPr>
      </w:pPr>
    </w:p>
    <w:p>
      <w:pPr>
        <w:pStyle w:val="2"/>
        <w:spacing w:line="253" w:lineRule="auto"/>
        <w:rPr>
          <w:rFonts w:hint="default" w:ascii="Times New Roman" w:hAnsi="Times New Roman" w:eastAsia="仿宋_GB2312" w:cs="Times New Roman"/>
        </w:rPr>
      </w:pPr>
    </w:p>
    <w:p>
      <w:pPr>
        <w:spacing w:line="364" w:lineRule="auto"/>
        <w:rPr>
          <w:rFonts w:hint="default" w:ascii="Times New Roman" w:hAnsi="Times New Roman" w:eastAsia="仿宋_GB2312" w:cs="Times New Roman"/>
          <w:sz w:val="31"/>
          <w:szCs w:val="31"/>
        </w:rPr>
        <w:sectPr>
          <w:footerReference r:id="rId12" w:type="default"/>
          <w:pgSz w:w="11907" w:h="16839"/>
          <w:pgMar w:top="1431" w:right="1785" w:bottom="1153" w:left="1785" w:header="0" w:footer="965" w:gutter="0"/>
        </w:sectPr>
      </w:pPr>
    </w:p>
    <w:p>
      <w:pPr>
        <w:pStyle w:val="2"/>
        <w:spacing w:line="339" w:lineRule="auto"/>
        <w:rPr>
          <w:rFonts w:hint="default" w:ascii="Times New Roman" w:hAnsi="Times New Roman" w:eastAsia="仿宋_GB2312" w:cs="Times New Roman"/>
        </w:rPr>
      </w:pPr>
    </w:p>
    <w:p>
      <w:pPr>
        <w:pStyle w:val="2"/>
        <w:spacing w:line="340" w:lineRule="auto"/>
        <w:rPr>
          <w:rFonts w:hint="default" w:ascii="Times New Roman" w:hAnsi="Times New Roman" w:eastAsia="仿宋_GB2312" w:cs="Times New Roman"/>
        </w:rPr>
      </w:pPr>
    </w:p>
    <w:p>
      <w:pPr>
        <w:spacing w:before="101" w:line="224" w:lineRule="auto"/>
        <w:ind w:left="675"/>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九、财政拨款“三公”经费支出决算表</w:t>
      </w:r>
    </w:p>
    <w:p>
      <w:pPr>
        <w:spacing w:before="96" w:line="5302" w:lineRule="exact"/>
        <w:ind w:firstLine="237"/>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92090" cy="1881505"/>
            <wp:effectExtent l="0" t="0" r="3810" b="4445"/>
            <wp:docPr id="10" name="图片 10" descr="173017973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30179736197"/>
                    <pic:cNvPicPr>
                      <a:picLocks noChangeAspect="1"/>
                    </pic:cNvPicPr>
                  </pic:nvPicPr>
                  <pic:blipFill>
                    <a:blip r:embed="rId28"/>
                    <a:stretch>
                      <a:fillRect/>
                    </a:stretch>
                  </pic:blipFill>
                  <pic:spPr>
                    <a:xfrm>
                      <a:off x="0" y="0"/>
                      <a:ext cx="5292090" cy="1881505"/>
                    </a:xfrm>
                    <a:prstGeom prst="rect">
                      <a:avLst/>
                    </a:prstGeom>
                  </pic:spPr>
                </pic:pic>
              </a:graphicData>
            </a:graphic>
          </wp:inline>
        </w:drawing>
      </w:r>
    </w:p>
    <w:p>
      <w:pPr>
        <w:spacing w:line="362" w:lineRule="auto"/>
        <w:rPr>
          <w:rFonts w:hint="default" w:ascii="Times New Roman" w:hAnsi="Times New Roman" w:eastAsia="仿宋_GB2312" w:cs="Times New Roman"/>
          <w:sz w:val="31"/>
          <w:szCs w:val="31"/>
        </w:rPr>
        <w:sectPr>
          <w:footerReference r:id="rId13" w:type="default"/>
          <w:pgSz w:w="11907" w:h="16839"/>
          <w:pgMar w:top="1431" w:right="1785" w:bottom="1153" w:left="1785" w:header="0" w:footer="965" w:gutter="0"/>
        </w:sectPr>
      </w:pPr>
    </w:p>
    <w:p>
      <w:pPr>
        <w:pStyle w:val="2"/>
        <w:spacing w:line="339" w:lineRule="auto"/>
        <w:rPr>
          <w:rFonts w:hint="default" w:ascii="Times New Roman" w:hAnsi="Times New Roman" w:eastAsia="仿宋_GB2312" w:cs="Times New Roman"/>
        </w:rPr>
      </w:pPr>
    </w:p>
    <w:p>
      <w:pPr>
        <w:pStyle w:val="2"/>
        <w:spacing w:line="339" w:lineRule="auto"/>
        <w:rPr>
          <w:rFonts w:hint="default" w:ascii="Times New Roman" w:hAnsi="Times New Roman" w:eastAsia="仿宋_GB2312" w:cs="Times New Roman"/>
        </w:rPr>
      </w:pPr>
    </w:p>
    <w:p>
      <w:pPr>
        <w:spacing w:before="100" w:line="224" w:lineRule="auto"/>
        <w:ind w:left="3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十、部门预算项目支出绩效自评表</w:t>
      </w:r>
    </w:p>
    <w:p>
      <w:pPr>
        <w:pStyle w:val="2"/>
        <w:spacing w:line="261" w:lineRule="auto"/>
        <w:rPr>
          <w:rFonts w:hint="default" w:ascii="Times New Roman" w:hAnsi="Times New Roman" w:eastAsia="仿宋_GB2312" w:cs="Times New Roman"/>
        </w:rPr>
      </w:pPr>
    </w:p>
    <w:p>
      <w:pPr>
        <w:pStyle w:val="2"/>
        <w:spacing w:line="261" w:lineRule="auto"/>
        <w:rPr>
          <w:rFonts w:hint="default" w:ascii="Times New Roman" w:hAnsi="Times New Roman" w:eastAsia="仿宋_GB2312" w:cs="Times New Roman"/>
        </w:rPr>
      </w:pPr>
    </w:p>
    <w:p>
      <w:pPr>
        <w:pStyle w:val="2"/>
        <w:spacing w:line="261" w:lineRule="auto"/>
        <w:rPr>
          <w:rFonts w:hint="default" w:ascii="Times New Roman" w:hAnsi="Times New Roman" w:eastAsia="仿宋_GB2312" w:cs="Times New Roman"/>
        </w:rPr>
      </w:pPr>
    </w:p>
    <w:p>
      <w:pPr>
        <w:spacing w:line="9847" w:lineRule="exact"/>
        <w:ind w:firstLine="297"/>
        <w:rPr>
          <w:rFonts w:hint="default" w:ascii="Times New Roman" w:hAnsi="Times New Roman" w:eastAsia="仿宋_GB2312" w:cs="Times New Roman"/>
        </w:rPr>
      </w:pPr>
      <w:r>
        <w:rPr>
          <w:rFonts w:hint="default" w:ascii="Times New Roman" w:hAnsi="Times New Roman" w:eastAsia="仿宋_GB2312" w:cs="Times New Roman"/>
          <w:position w:val="-196"/>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9"/>
                    <a:stretch>
                      <a:fillRect/>
                    </a:stretch>
                  </pic:blipFill>
                  <pic:spPr>
                    <a:xfrm>
                      <a:off x="0" y="0"/>
                      <a:ext cx="4913629" cy="6252844"/>
                    </a:xfrm>
                    <a:prstGeom prst="rect">
                      <a:avLst/>
                    </a:prstGeom>
                  </pic:spPr>
                </pic:pic>
              </a:graphicData>
            </a:graphic>
          </wp:inline>
        </w:drawing>
      </w:r>
    </w:p>
    <w:p>
      <w:pPr>
        <w:spacing w:line="9847" w:lineRule="exact"/>
        <w:rPr>
          <w:rFonts w:hint="default" w:ascii="Times New Roman" w:hAnsi="Times New Roman" w:eastAsia="仿宋_GB2312" w:cs="Times New Roman"/>
        </w:rPr>
        <w:sectPr>
          <w:footerReference r:id="rId14" w:type="default"/>
          <w:pgSz w:w="11907" w:h="16839"/>
          <w:pgMar w:top="1431" w:right="1785" w:bottom="1153" w:left="1785" w:header="0" w:footer="965" w:gutter="0"/>
        </w:sectPr>
      </w:pPr>
    </w:p>
    <w:p>
      <w:pPr>
        <w:keepNext w:val="0"/>
        <w:keepLines w:val="0"/>
        <w:pageBreakBefore w:val="0"/>
        <w:widowControl/>
        <w:kinsoku w:val="0"/>
        <w:wordWrap/>
        <w:overflowPunct/>
        <w:topLinePunct w:val="0"/>
        <w:autoSpaceDE w:val="0"/>
        <w:autoSpaceDN w:val="0"/>
        <w:bidi w:val="0"/>
        <w:adjustRightInd w:val="0"/>
        <w:snapToGrid w:val="0"/>
        <w:spacing w:before="225" w:line="560" w:lineRule="exact"/>
        <w:jc w:val="center"/>
        <w:textAlignment w:val="baseline"/>
        <w:outlineLvl w:val="0"/>
        <w:rPr>
          <w:rFonts w:hint="eastAsia" w:ascii="仿宋" w:hAnsi="仿宋" w:eastAsia="仿宋" w:cs="仿宋"/>
          <w:b/>
          <w:bCs/>
          <w:sz w:val="32"/>
          <w:szCs w:val="32"/>
        </w:rPr>
      </w:pPr>
      <w:r>
        <w:rPr>
          <w:rFonts w:hint="eastAsia" w:ascii="仿宋" w:hAnsi="仿宋" w:eastAsia="仿宋" w:cs="仿宋"/>
          <w:b/>
          <w:bCs/>
          <w:spacing w:val="5"/>
          <w:position w:val="-2"/>
          <w:sz w:val="32"/>
          <w:szCs w:val="32"/>
        </w:rPr>
        <w:t>第三部分2023年度部门决算情况说明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b w:val="0"/>
          <w:bCs w:val="0"/>
          <w:spacing w:val="4"/>
          <w:sz w:val="32"/>
          <w:szCs w:val="32"/>
        </w:rPr>
      </w:pPr>
      <w:r>
        <w:rPr>
          <w:rFonts w:hint="eastAsia" w:ascii="仿宋" w:hAnsi="仿宋" w:eastAsia="仿宋" w:cs="仿宋"/>
          <w:b w:val="0"/>
          <w:bCs w:val="0"/>
          <w:spacing w:val="8"/>
          <w:sz w:val="32"/>
          <w:szCs w:val="32"/>
        </w:rPr>
        <w:t>一、收入支出决算总体情况说明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138" w:right="82" w:firstLine="656" w:firstLineChars="200"/>
        <w:textAlignment w:val="baseline"/>
        <w:rPr>
          <w:rFonts w:hint="eastAsia" w:ascii="仿宋" w:hAnsi="仿宋" w:eastAsia="仿宋" w:cs="仿宋"/>
          <w:b w:val="0"/>
          <w:bCs w:val="0"/>
          <w:spacing w:val="-10"/>
          <w:sz w:val="32"/>
          <w:szCs w:val="32"/>
        </w:rPr>
      </w:pPr>
      <w:r>
        <w:rPr>
          <w:rFonts w:hint="eastAsia" w:ascii="仿宋" w:hAnsi="仿宋" w:eastAsia="仿宋" w:cs="仿宋"/>
          <w:b w:val="0"/>
          <w:bCs w:val="0"/>
          <w:spacing w:val="4"/>
          <w:sz w:val="32"/>
          <w:szCs w:val="32"/>
        </w:rPr>
        <w:t>2023年度收、支总计均为4152.19万元。与2022年度相比，收、支总计各增加</w:t>
      </w:r>
      <w:r>
        <w:rPr>
          <w:rFonts w:hint="eastAsia" w:ascii="仿宋" w:hAnsi="仿宋" w:eastAsia="仿宋" w:cs="仿宋"/>
          <w:b w:val="0"/>
          <w:bCs w:val="0"/>
          <w:spacing w:val="4"/>
          <w:sz w:val="32"/>
          <w:szCs w:val="32"/>
          <w:lang w:val="en-US" w:eastAsia="zh-CN"/>
        </w:rPr>
        <w:t>2368.74</w:t>
      </w:r>
      <w:r>
        <w:rPr>
          <w:rFonts w:hint="eastAsia" w:ascii="仿宋" w:hAnsi="仿宋" w:eastAsia="仿宋" w:cs="仿宋"/>
          <w:b w:val="0"/>
          <w:bCs w:val="0"/>
          <w:spacing w:val="4"/>
          <w:sz w:val="32"/>
          <w:szCs w:val="32"/>
        </w:rPr>
        <w:t>万元，增长</w:t>
      </w:r>
      <w:r>
        <w:rPr>
          <w:rFonts w:hint="eastAsia" w:ascii="仿宋" w:hAnsi="仿宋" w:eastAsia="仿宋" w:cs="仿宋"/>
          <w:b w:val="0"/>
          <w:bCs w:val="0"/>
          <w:spacing w:val="4"/>
          <w:sz w:val="32"/>
          <w:szCs w:val="32"/>
          <w:lang w:val="en-US" w:eastAsia="zh-CN"/>
        </w:rPr>
        <w:t>132.82</w:t>
      </w:r>
      <w:r>
        <w:rPr>
          <w:rFonts w:hint="eastAsia" w:ascii="仿宋" w:hAnsi="仿宋" w:eastAsia="仿宋" w:cs="仿宋"/>
          <w:b w:val="0"/>
          <w:bCs w:val="0"/>
          <w:spacing w:val="4"/>
          <w:sz w:val="32"/>
          <w:szCs w:val="32"/>
        </w:rPr>
        <w:t>%。主</w:t>
      </w:r>
      <w:r>
        <w:rPr>
          <w:rFonts w:hint="eastAsia" w:ascii="仿宋" w:hAnsi="仿宋" w:eastAsia="仿宋" w:cs="仿宋"/>
          <w:b w:val="0"/>
          <w:bCs w:val="0"/>
          <w:spacing w:val="-10"/>
          <w:sz w:val="32"/>
          <w:szCs w:val="32"/>
        </w:rPr>
        <w:t>要原因：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一般公共公共服务支出增加</w:t>
      </w:r>
      <w:r>
        <w:rPr>
          <w:rFonts w:hint="eastAsia" w:ascii="仿宋" w:hAnsi="仿宋" w:eastAsia="仿宋" w:cs="仿宋"/>
          <w:b w:val="0"/>
          <w:bCs w:val="0"/>
          <w:sz w:val="32"/>
          <w:szCs w:val="32"/>
          <w:lang w:val="en-US" w:eastAsia="zh-CN"/>
        </w:rPr>
        <w:t>135.03</w:t>
      </w:r>
      <w:r>
        <w:rPr>
          <w:rFonts w:hint="eastAsia" w:ascii="仿宋" w:hAnsi="仿宋" w:eastAsia="仿宋" w:cs="仿宋"/>
          <w:b w:val="0"/>
          <w:bCs w:val="0"/>
          <w:sz w:val="32"/>
          <w:szCs w:val="32"/>
        </w:rPr>
        <w:t>万元；2、社会保障和就业支出</w:t>
      </w:r>
      <w:r>
        <w:rPr>
          <w:rFonts w:hint="eastAsia" w:ascii="仿宋" w:hAnsi="仿宋" w:eastAsia="仿宋" w:cs="仿宋"/>
          <w:b w:val="0"/>
          <w:bCs w:val="0"/>
          <w:sz w:val="32"/>
          <w:szCs w:val="32"/>
          <w:lang w:val="en-US" w:eastAsia="zh-CN"/>
        </w:rPr>
        <w:t>减少40.89</w:t>
      </w:r>
      <w:r>
        <w:rPr>
          <w:rFonts w:hint="eastAsia" w:ascii="仿宋" w:hAnsi="仿宋" w:eastAsia="仿宋" w:cs="仿宋"/>
          <w:b w:val="0"/>
          <w:bCs w:val="0"/>
          <w:sz w:val="32"/>
          <w:szCs w:val="32"/>
        </w:rPr>
        <w:t>万元；3、卫生健康支出</w:t>
      </w:r>
      <w:r>
        <w:rPr>
          <w:rFonts w:hint="eastAsia" w:ascii="仿宋" w:hAnsi="仿宋" w:eastAsia="仿宋" w:cs="仿宋"/>
          <w:b w:val="0"/>
          <w:bCs w:val="0"/>
          <w:sz w:val="32"/>
          <w:szCs w:val="32"/>
          <w:lang w:val="en-US" w:eastAsia="zh-CN"/>
        </w:rPr>
        <w:t>减少1.84</w:t>
      </w:r>
      <w:r>
        <w:rPr>
          <w:rFonts w:hint="eastAsia" w:ascii="仿宋" w:hAnsi="仿宋" w:eastAsia="仿宋" w:cs="仿宋"/>
          <w:b w:val="0"/>
          <w:bCs w:val="0"/>
          <w:sz w:val="32"/>
          <w:szCs w:val="32"/>
        </w:rPr>
        <w:t>万元；4、</w:t>
      </w:r>
      <w:r>
        <w:rPr>
          <w:rFonts w:hint="eastAsia" w:ascii="仿宋" w:hAnsi="仿宋" w:eastAsia="仿宋" w:cs="仿宋"/>
          <w:b w:val="0"/>
          <w:bCs w:val="0"/>
          <w:sz w:val="32"/>
          <w:szCs w:val="32"/>
          <w:lang w:val="en-US" w:eastAsia="zh-CN"/>
        </w:rPr>
        <w:t>住房保障支出增加13.71</w:t>
      </w:r>
      <w:r>
        <w:rPr>
          <w:rFonts w:hint="eastAsia" w:ascii="仿宋" w:hAnsi="仿宋" w:eastAsia="仿宋" w:cs="仿宋"/>
          <w:b w:val="0"/>
          <w:bCs w:val="0"/>
          <w:sz w:val="32"/>
          <w:szCs w:val="32"/>
        </w:rPr>
        <w:t>万元；5、农林水支出增加</w:t>
      </w:r>
      <w:r>
        <w:rPr>
          <w:rFonts w:hint="eastAsia" w:ascii="仿宋" w:hAnsi="仿宋" w:eastAsia="仿宋" w:cs="仿宋"/>
          <w:b w:val="0"/>
          <w:bCs w:val="0"/>
          <w:sz w:val="32"/>
          <w:szCs w:val="32"/>
          <w:lang w:val="en-US" w:eastAsia="zh-CN"/>
        </w:rPr>
        <w:t>2015.93</w:t>
      </w:r>
      <w:r>
        <w:rPr>
          <w:rFonts w:hint="eastAsia" w:ascii="仿宋" w:hAnsi="仿宋" w:eastAsia="仿宋" w:cs="仿宋"/>
          <w:b w:val="0"/>
          <w:bCs w:val="0"/>
          <w:sz w:val="32"/>
          <w:szCs w:val="32"/>
        </w:rPr>
        <w:t>万元；</w:t>
      </w:r>
      <w:r>
        <w:rPr>
          <w:rFonts w:hint="eastAsia" w:ascii="仿宋" w:hAnsi="仿宋" w:eastAsia="仿宋" w:cs="仿宋"/>
          <w:b w:val="0"/>
          <w:bCs w:val="0"/>
          <w:sz w:val="32"/>
          <w:szCs w:val="32"/>
          <w:lang w:val="en-US" w:eastAsia="zh-CN"/>
        </w:rPr>
        <w:t>6、公共安全支出减少7.85万元；7、文化旅游体育与传媒支出减少0.6万元；8、资源勘探工业信息等支出14.67万元；9、城乡社区支出增加231.33万元；10、交通运输支出增加15.7万元；11、灾害防治及应急管理支出增加32.5万元；12、其他支出减少9.6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b w:val="0"/>
          <w:bCs w:val="0"/>
          <w:spacing w:val="4"/>
          <w:sz w:val="32"/>
          <w:szCs w:val="32"/>
        </w:rPr>
      </w:pPr>
      <w:r>
        <w:rPr>
          <w:rFonts w:hint="eastAsia" w:ascii="仿宋" w:hAnsi="仿宋" w:eastAsia="仿宋" w:cs="仿宋"/>
          <w:b w:val="0"/>
          <w:bCs w:val="0"/>
          <w:spacing w:val="8"/>
          <w:sz w:val="32"/>
          <w:szCs w:val="32"/>
        </w:rPr>
        <w:t>二、收入决算情况说明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56"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pacing w:val="4"/>
          <w:sz w:val="32"/>
          <w:szCs w:val="32"/>
        </w:rPr>
        <w:t>本年收入合计4152.19万元，其中：财政拨款收入4152.19万元，</w:t>
      </w:r>
      <w:r>
        <w:rPr>
          <w:rFonts w:hint="eastAsia" w:ascii="仿宋" w:hAnsi="仿宋" w:eastAsia="仿宋" w:cs="仿宋"/>
          <w:b w:val="0"/>
          <w:bCs w:val="0"/>
          <w:sz w:val="32"/>
          <w:szCs w:val="32"/>
        </w:rPr>
        <w:t>占</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z w:val="32"/>
          <w:szCs w:val="32"/>
        </w:rPr>
        <w:t>%；上级补助收入</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万元，占</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%；事业收入</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万元，占</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%；经营收入</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万元，占</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%；附属单位上缴收入</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万元，占</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%；其他收入</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万元，占</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三、支出决算情况说明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本年支出合计4152.19万元，其中：基本支出993.70万元，占</w:t>
      </w:r>
      <w:r>
        <w:rPr>
          <w:rFonts w:hint="eastAsia" w:ascii="仿宋" w:hAnsi="仿宋" w:eastAsia="仿宋" w:cs="仿宋"/>
          <w:b w:val="0"/>
          <w:bCs w:val="0"/>
          <w:sz w:val="32"/>
          <w:szCs w:val="32"/>
          <w:lang w:val="en-US" w:eastAsia="zh-CN"/>
        </w:rPr>
        <w:t>23</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93</w:t>
      </w:r>
      <w:r>
        <w:rPr>
          <w:rFonts w:hint="eastAsia" w:ascii="仿宋" w:hAnsi="仿宋" w:eastAsia="仿宋" w:cs="仿宋"/>
          <w:b w:val="0"/>
          <w:bCs w:val="0"/>
          <w:sz w:val="32"/>
          <w:szCs w:val="32"/>
        </w:rPr>
        <w:t>%；项目支出</w:t>
      </w:r>
      <w:r>
        <w:rPr>
          <w:rFonts w:hint="eastAsia" w:ascii="仿宋" w:hAnsi="仿宋" w:eastAsia="仿宋" w:cs="仿宋"/>
          <w:b w:val="0"/>
          <w:bCs w:val="0"/>
          <w:sz w:val="32"/>
          <w:szCs w:val="32"/>
          <w:lang w:val="en-US" w:eastAsia="zh-CN"/>
        </w:rPr>
        <w:t>3158.49</w:t>
      </w:r>
      <w:r>
        <w:rPr>
          <w:rFonts w:hint="eastAsia" w:ascii="仿宋" w:hAnsi="仿宋" w:eastAsia="仿宋" w:cs="仿宋"/>
          <w:b w:val="0"/>
          <w:bCs w:val="0"/>
          <w:sz w:val="32"/>
          <w:szCs w:val="32"/>
        </w:rPr>
        <w:t>万元，占</w:t>
      </w:r>
      <w:r>
        <w:rPr>
          <w:rFonts w:hint="eastAsia" w:ascii="仿宋" w:hAnsi="仿宋" w:eastAsia="仿宋" w:cs="仿宋"/>
          <w:b w:val="0"/>
          <w:bCs w:val="0"/>
          <w:sz w:val="32"/>
          <w:szCs w:val="32"/>
          <w:lang w:val="en-US" w:eastAsia="zh-CN"/>
        </w:rPr>
        <w:t>76</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07</w:t>
      </w:r>
      <w:r>
        <w:rPr>
          <w:rFonts w:hint="eastAsia" w:ascii="仿宋" w:hAnsi="仿宋" w:eastAsia="仿宋" w:cs="仿宋"/>
          <w:b w:val="0"/>
          <w:bCs w:val="0"/>
          <w:sz w:val="32"/>
          <w:szCs w:val="32"/>
        </w:rPr>
        <w:t>%；上缴上级支出0万元，占0%；经营支出0万元，占0%；对附属单位补助支出0万元，占0%。</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pacing w:val="8"/>
          <w:sz w:val="32"/>
          <w:szCs w:val="32"/>
        </w:rPr>
        <w:t>四、财政拨款收入支出决算总体情况说明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64" w:firstLineChars="200"/>
        <w:textAlignment w:val="baseline"/>
        <w:rPr>
          <w:rFonts w:hint="eastAsia" w:ascii="仿宋" w:hAnsi="仿宋" w:eastAsia="仿宋" w:cs="仿宋"/>
          <w:b w:val="0"/>
          <w:bCs w:val="0"/>
          <w:spacing w:val="-1"/>
          <w:sz w:val="32"/>
          <w:szCs w:val="32"/>
        </w:rPr>
      </w:pPr>
      <w:r>
        <w:rPr>
          <w:rFonts w:hint="eastAsia" w:ascii="仿宋" w:hAnsi="仿宋" w:eastAsia="仿宋" w:cs="仿宋"/>
          <w:b w:val="0"/>
          <w:bCs w:val="0"/>
          <w:spacing w:val="6"/>
          <w:sz w:val="32"/>
          <w:szCs w:val="32"/>
        </w:rPr>
        <w:t>2023年度财政拨款收、支总计均为</w:t>
      </w:r>
      <w:r>
        <w:rPr>
          <w:rFonts w:hint="eastAsia" w:ascii="仿宋" w:hAnsi="仿宋" w:eastAsia="仿宋" w:cs="仿宋"/>
          <w:b w:val="0"/>
          <w:bCs w:val="0"/>
          <w:sz w:val="32"/>
          <w:szCs w:val="32"/>
        </w:rPr>
        <w:t>4152.19</w:t>
      </w:r>
      <w:r>
        <w:rPr>
          <w:rFonts w:hint="eastAsia" w:ascii="仿宋" w:hAnsi="仿宋" w:eastAsia="仿宋" w:cs="仿宋"/>
          <w:b w:val="0"/>
          <w:bCs w:val="0"/>
          <w:spacing w:val="5"/>
          <w:sz w:val="32"/>
          <w:szCs w:val="32"/>
        </w:rPr>
        <w:t>万元，与2022年</w:t>
      </w:r>
      <w:r>
        <w:rPr>
          <w:rFonts w:hint="eastAsia" w:ascii="仿宋" w:hAnsi="仿宋" w:eastAsia="仿宋" w:cs="仿宋"/>
          <w:b w:val="0"/>
          <w:bCs w:val="0"/>
          <w:spacing w:val="-9"/>
          <w:sz w:val="32"/>
          <w:szCs w:val="32"/>
        </w:rPr>
        <w:t>相比，财政拨款收、支总计各增加</w:t>
      </w:r>
      <w:r>
        <w:rPr>
          <w:rFonts w:hint="eastAsia" w:ascii="仿宋" w:hAnsi="仿宋" w:eastAsia="仿宋" w:cs="仿宋"/>
          <w:b w:val="0"/>
          <w:bCs w:val="0"/>
          <w:spacing w:val="4"/>
          <w:sz w:val="32"/>
          <w:szCs w:val="32"/>
          <w:lang w:val="en-US" w:eastAsia="zh-CN"/>
        </w:rPr>
        <w:t>2368.74</w:t>
      </w:r>
      <w:r>
        <w:rPr>
          <w:rFonts w:hint="eastAsia" w:ascii="仿宋" w:hAnsi="仿宋" w:eastAsia="仿宋" w:cs="仿宋"/>
          <w:b w:val="0"/>
          <w:bCs w:val="0"/>
          <w:spacing w:val="-9"/>
          <w:sz w:val="32"/>
          <w:szCs w:val="32"/>
        </w:rPr>
        <w:t>万元，增长</w:t>
      </w:r>
      <w:r>
        <w:rPr>
          <w:rFonts w:hint="eastAsia" w:ascii="仿宋" w:hAnsi="仿宋" w:eastAsia="仿宋" w:cs="仿宋"/>
          <w:b w:val="0"/>
          <w:bCs w:val="0"/>
          <w:spacing w:val="4"/>
          <w:sz w:val="32"/>
          <w:szCs w:val="32"/>
        </w:rPr>
        <w:t>增长</w:t>
      </w:r>
      <w:r>
        <w:rPr>
          <w:rFonts w:hint="eastAsia" w:ascii="仿宋" w:hAnsi="仿宋" w:eastAsia="仿宋" w:cs="仿宋"/>
          <w:b w:val="0"/>
          <w:bCs w:val="0"/>
          <w:spacing w:val="4"/>
          <w:sz w:val="32"/>
          <w:szCs w:val="32"/>
          <w:lang w:val="en-US" w:eastAsia="zh-CN"/>
        </w:rPr>
        <w:t>132.82</w:t>
      </w:r>
      <w:r>
        <w:rPr>
          <w:rFonts w:hint="eastAsia" w:ascii="仿宋" w:hAnsi="仿宋" w:eastAsia="仿宋" w:cs="仿宋"/>
          <w:b w:val="0"/>
          <w:bCs w:val="0"/>
          <w:spacing w:val="4"/>
          <w:sz w:val="32"/>
          <w:szCs w:val="32"/>
        </w:rPr>
        <w:t>%</w:t>
      </w:r>
      <w:r>
        <w:rPr>
          <w:rFonts w:hint="eastAsia" w:ascii="仿宋" w:hAnsi="仿宋" w:eastAsia="仿宋" w:cs="仿宋"/>
          <w:b w:val="0"/>
          <w:bCs w:val="0"/>
          <w:spacing w:val="-1"/>
          <w:sz w:val="32"/>
          <w:szCs w:val="32"/>
        </w:rPr>
        <w:t>。主要原因: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一般公共公共服务支出增加</w:t>
      </w:r>
      <w:r>
        <w:rPr>
          <w:rFonts w:hint="eastAsia" w:ascii="仿宋" w:hAnsi="仿宋" w:eastAsia="仿宋" w:cs="仿宋"/>
          <w:b w:val="0"/>
          <w:bCs w:val="0"/>
          <w:sz w:val="32"/>
          <w:szCs w:val="32"/>
          <w:lang w:val="en-US" w:eastAsia="zh-CN"/>
        </w:rPr>
        <w:t>135.03</w:t>
      </w:r>
      <w:r>
        <w:rPr>
          <w:rFonts w:hint="eastAsia" w:ascii="仿宋" w:hAnsi="仿宋" w:eastAsia="仿宋" w:cs="仿宋"/>
          <w:b w:val="0"/>
          <w:bCs w:val="0"/>
          <w:sz w:val="32"/>
          <w:szCs w:val="32"/>
        </w:rPr>
        <w:t>万元；2、社会保障和就业支出</w:t>
      </w:r>
      <w:r>
        <w:rPr>
          <w:rFonts w:hint="eastAsia" w:ascii="仿宋" w:hAnsi="仿宋" w:eastAsia="仿宋" w:cs="仿宋"/>
          <w:b w:val="0"/>
          <w:bCs w:val="0"/>
          <w:sz w:val="32"/>
          <w:szCs w:val="32"/>
          <w:lang w:val="en-US" w:eastAsia="zh-CN"/>
        </w:rPr>
        <w:t>减少40.89</w:t>
      </w:r>
      <w:r>
        <w:rPr>
          <w:rFonts w:hint="eastAsia" w:ascii="仿宋" w:hAnsi="仿宋" w:eastAsia="仿宋" w:cs="仿宋"/>
          <w:b w:val="0"/>
          <w:bCs w:val="0"/>
          <w:sz w:val="32"/>
          <w:szCs w:val="32"/>
        </w:rPr>
        <w:t>万元；3、卫生健康支出</w:t>
      </w:r>
      <w:r>
        <w:rPr>
          <w:rFonts w:hint="eastAsia" w:ascii="仿宋" w:hAnsi="仿宋" w:eastAsia="仿宋" w:cs="仿宋"/>
          <w:b w:val="0"/>
          <w:bCs w:val="0"/>
          <w:sz w:val="32"/>
          <w:szCs w:val="32"/>
          <w:lang w:val="en-US" w:eastAsia="zh-CN"/>
        </w:rPr>
        <w:t>减少1.84</w:t>
      </w:r>
      <w:r>
        <w:rPr>
          <w:rFonts w:hint="eastAsia" w:ascii="仿宋" w:hAnsi="仿宋" w:eastAsia="仿宋" w:cs="仿宋"/>
          <w:b w:val="0"/>
          <w:bCs w:val="0"/>
          <w:sz w:val="32"/>
          <w:szCs w:val="32"/>
        </w:rPr>
        <w:t>万元；4、</w:t>
      </w:r>
      <w:r>
        <w:rPr>
          <w:rFonts w:hint="eastAsia" w:ascii="仿宋" w:hAnsi="仿宋" w:eastAsia="仿宋" w:cs="仿宋"/>
          <w:b w:val="0"/>
          <w:bCs w:val="0"/>
          <w:sz w:val="32"/>
          <w:szCs w:val="32"/>
          <w:lang w:val="en-US" w:eastAsia="zh-CN"/>
        </w:rPr>
        <w:t>住房保障支出增加13.71</w:t>
      </w:r>
      <w:r>
        <w:rPr>
          <w:rFonts w:hint="eastAsia" w:ascii="仿宋" w:hAnsi="仿宋" w:eastAsia="仿宋" w:cs="仿宋"/>
          <w:b w:val="0"/>
          <w:bCs w:val="0"/>
          <w:sz w:val="32"/>
          <w:szCs w:val="32"/>
        </w:rPr>
        <w:t>万元；5、农林水支出增加</w:t>
      </w:r>
      <w:r>
        <w:rPr>
          <w:rFonts w:hint="eastAsia" w:ascii="仿宋" w:hAnsi="仿宋" w:eastAsia="仿宋" w:cs="仿宋"/>
          <w:b w:val="0"/>
          <w:bCs w:val="0"/>
          <w:sz w:val="32"/>
          <w:szCs w:val="32"/>
          <w:lang w:val="en-US" w:eastAsia="zh-CN"/>
        </w:rPr>
        <w:t>2015.93</w:t>
      </w:r>
      <w:r>
        <w:rPr>
          <w:rFonts w:hint="eastAsia" w:ascii="仿宋" w:hAnsi="仿宋" w:eastAsia="仿宋" w:cs="仿宋"/>
          <w:b w:val="0"/>
          <w:bCs w:val="0"/>
          <w:sz w:val="32"/>
          <w:szCs w:val="32"/>
        </w:rPr>
        <w:t>万元；</w:t>
      </w:r>
      <w:r>
        <w:rPr>
          <w:rFonts w:hint="eastAsia" w:ascii="仿宋" w:hAnsi="仿宋" w:eastAsia="仿宋" w:cs="仿宋"/>
          <w:b w:val="0"/>
          <w:bCs w:val="0"/>
          <w:sz w:val="32"/>
          <w:szCs w:val="32"/>
          <w:lang w:val="en-US" w:eastAsia="zh-CN"/>
        </w:rPr>
        <w:t>6、公共安全支出减少7.85万元；7、文化旅游体育与传媒支出减少0.6万元；8、资源勘探工业信息等支出14.67万元；9、城乡社区支出增加231.33万元；10、交通运输支出增加15.7万元；11、灾害防治及应急管理支出增加32.5万元；12、其他支出减少9.6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五、一般公共预算财政拨款支出决算情况说明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36" w:firstLineChars="200"/>
        <w:textAlignment w:val="baseline"/>
        <w:rPr>
          <w:rFonts w:hint="eastAsia" w:ascii="仿宋" w:hAnsi="仿宋" w:eastAsia="仿宋" w:cs="仿宋"/>
          <w:b w:val="0"/>
          <w:bCs w:val="0"/>
          <w:spacing w:val="-1"/>
          <w:sz w:val="32"/>
          <w:szCs w:val="32"/>
        </w:rPr>
      </w:pPr>
      <w:r>
        <w:rPr>
          <w:rFonts w:hint="eastAsia" w:ascii="仿宋" w:hAnsi="仿宋" w:eastAsia="仿宋" w:cs="仿宋"/>
          <w:b w:val="0"/>
          <w:bCs w:val="0"/>
          <w:spacing w:val="-1"/>
          <w:sz w:val="32"/>
          <w:szCs w:val="32"/>
        </w:rPr>
        <w:t>（一）一般公共预算财政拨款支出决算总体情况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3" w:right="92" w:firstLine="656" w:firstLineChars="200"/>
        <w:textAlignment w:val="baseline"/>
        <w:rPr>
          <w:rFonts w:hint="eastAsia" w:ascii="仿宋" w:hAnsi="仿宋" w:eastAsia="仿宋" w:cs="仿宋"/>
          <w:b w:val="0"/>
          <w:bCs w:val="0"/>
          <w:spacing w:val="-1"/>
          <w:sz w:val="32"/>
          <w:szCs w:val="32"/>
        </w:rPr>
      </w:pPr>
      <w:r>
        <w:rPr>
          <w:rFonts w:hint="eastAsia" w:ascii="仿宋" w:hAnsi="仿宋" w:eastAsia="仿宋" w:cs="仿宋"/>
          <w:b w:val="0"/>
          <w:bCs w:val="0"/>
          <w:spacing w:val="4"/>
          <w:sz w:val="32"/>
          <w:szCs w:val="32"/>
        </w:rPr>
        <w:t>2023年度一般公共预算财政拨款支出</w:t>
      </w:r>
      <w:r>
        <w:rPr>
          <w:rFonts w:hint="eastAsia" w:ascii="仿宋" w:hAnsi="仿宋" w:eastAsia="仿宋" w:cs="仿宋"/>
          <w:b w:val="0"/>
          <w:bCs w:val="0"/>
          <w:sz w:val="32"/>
          <w:szCs w:val="32"/>
        </w:rPr>
        <w:t>3920.8</w:t>
      </w:r>
      <w:r>
        <w:rPr>
          <w:rFonts w:hint="eastAsia" w:ascii="仿宋" w:hAnsi="仿宋" w:eastAsia="仿宋" w:cs="仿宋"/>
          <w:b w:val="0"/>
          <w:bCs w:val="0"/>
          <w:sz w:val="32"/>
          <w:szCs w:val="32"/>
          <w:lang w:val="en-US" w:eastAsia="zh-CN"/>
        </w:rPr>
        <w:t>6</w:t>
      </w:r>
      <w:r>
        <w:rPr>
          <w:rFonts w:hint="eastAsia" w:ascii="仿宋" w:hAnsi="仿宋" w:eastAsia="仿宋" w:cs="仿宋"/>
          <w:b w:val="0"/>
          <w:bCs w:val="0"/>
          <w:spacing w:val="4"/>
          <w:sz w:val="32"/>
          <w:szCs w:val="32"/>
        </w:rPr>
        <w:t>万元，占本年支</w:t>
      </w:r>
      <w:r>
        <w:rPr>
          <w:rFonts w:hint="eastAsia" w:ascii="仿宋" w:hAnsi="仿宋" w:eastAsia="仿宋" w:cs="仿宋"/>
          <w:b w:val="0"/>
          <w:bCs w:val="0"/>
          <w:spacing w:val="3"/>
          <w:sz w:val="32"/>
          <w:szCs w:val="32"/>
        </w:rPr>
        <w:t>出合计的</w:t>
      </w:r>
      <w:r>
        <w:rPr>
          <w:rFonts w:hint="eastAsia" w:ascii="仿宋" w:hAnsi="仿宋" w:eastAsia="仿宋" w:cs="仿宋"/>
          <w:b w:val="0"/>
          <w:bCs w:val="0"/>
          <w:spacing w:val="3"/>
          <w:sz w:val="32"/>
          <w:szCs w:val="32"/>
          <w:lang w:val="en-US" w:eastAsia="zh-CN"/>
        </w:rPr>
        <w:t>94.43</w:t>
      </w:r>
      <w:r>
        <w:rPr>
          <w:rFonts w:hint="eastAsia" w:ascii="仿宋" w:hAnsi="仿宋" w:eastAsia="仿宋" w:cs="仿宋"/>
          <w:b w:val="0"/>
          <w:bCs w:val="0"/>
          <w:spacing w:val="3"/>
          <w:sz w:val="32"/>
          <w:szCs w:val="32"/>
        </w:rPr>
        <w:t>%。与2022年度相比，一般公共预算财政拨款支</w:t>
      </w:r>
      <w:r>
        <w:rPr>
          <w:rFonts w:hint="eastAsia" w:ascii="仿宋" w:hAnsi="仿宋" w:eastAsia="仿宋" w:cs="仿宋"/>
          <w:b w:val="0"/>
          <w:bCs w:val="0"/>
          <w:spacing w:val="-1"/>
          <w:sz w:val="32"/>
          <w:szCs w:val="32"/>
        </w:rPr>
        <w:t>出增加</w:t>
      </w:r>
      <w:r>
        <w:rPr>
          <w:rFonts w:hint="eastAsia" w:ascii="仿宋" w:hAnsi="仿宋" w:eastAsia="仿宋" w:cs="仿宋"/>
          <w:b w:val="0"/>
          <w:bCs w:val="0"/>
          <w:spacing w:val="4"/>
          <w:sz w:val="32"/>
          <w:szCs w:val="32"/>
          <w:lang w:val="en-US" w:eastAsia="zh-CN"/>
        </w:rPr>
        <w:t>2147.01</w:t>
      </w:r>
      <w:r>
        <w:rPr>
          <w:rFonts w:hint="eastAsia" w:ascii="仿宋" w:hAnsi="仿宋" w:eastAsia="仿宋" w:cs="仿宋"/>
          <w:b w:val="0"/>
          <w:bCs w:val="0"/>
          <w:spacing w:val="-1"/>
          <w:sz w:val="32"/>
          <w:szCs w:val="32"/>
        </w:rPr>
        <w:t>万元，增长</w:t>
      </w:r>
      <w:r>
        <w:rPr>
          <w:rFonts w:hint="eastAsia" w:ascii="仿宋" w:hAnsi="仿宋" w:eastAsia="仿宋" w:cs="仿宋"/>
          <w:b w:val="0"/>
          <w:bCs w:val="0"/>
          <w:spacing w:val="4"/>
          <w:sz w:val="32"/>
          <w:szCs w:val="32"/>
          <w:lang w:val="en-US" w:eastAsia="zh-CN"/>
        </w:rPr>
        <w:t>121.03</w:t>
      </w:r>
      <w:r>
        <w:rPr>
          <w:rFonts w:hint="eastAsia" w:ascii="仿宋" w:hAnsi="仿宋" w:eastAsia="仿宋" w:cs="仿宋"/>
          <w:b w:val="0"/>
          <w:bCs w:val="0"/>
          <w:spacing w:val="4"/>
          <w:sz w:val="32"/>
          <w:szCs w:val="32"/>
        </w:rPr>
        <w:t>%</w:t>
      </w:r>
      <w:r>
        <w:rPr>
          <w:rFonts w:hint="eastAsia" w:ascii="仿宋" w:hAnsi="仿宋" w:eastAsia="仿宋" w:cs="仿宋"/>
          <w:b w:val="0"/>
          <w:bCs w:val="0"/>
          <w:spacing w:val="-1"/>
          <w:sz w:val="32"/>
          <w:szCs w:val="32"/>
        </w:rPr>
        <w:t>。主要原因：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一般公共公共服务支出增加</w:t>
      </w:r>
      <w:r>
        <w:rPr>
          <w:rFonts w:hint="eastAsia" w:ascii="仿宋" w:hAnsi="仿宋" w:eastAsia="仿宋" w:cs="仿宋"/>
          <w:b w:val="0"/>
          <w:bCs w:val="0"/>
          <w:sz w:val="32"/>
          <w:szCs w:val="32"/>
          <w:lang w:val="en-US" w:eastAsia="zh-CN"/>
        </w:rPr>
        <w:t>135.03</w:t>
      </w:r>
      <w:r>
        <w:rPr>
          <w:rFonts w:hint="eastAsia" w:ascii="仿宋" w:hAnsi="仿宋" w:eastAsia="仿宋" w:cs="仿宋"/>
          <w:b w:val="0"/>
          <w:bCs w:val="0"/>
          <w:sz w:val="32"/>
          <w:szCs w:val="32"/>
        </w:rPr>
        <w:t>万元；2、社会保障和就业支出</w:t>
      </w:r>
      <w:r>
        <w:rPr>
          <w:rFonts w:hint="eastAsia" w:ascii="仿宋" w:hAnsi="仿宋" w:eastAsia="仿宋" w:cs="仿宋"/>
          <w:b w:val="0"/>
          <w:bCs w:val="0"/>
          <w:sz w:val="32"/>
          <w:szCs w:val="32"/>
          <w:lang w:val="en-US" w:eastAsia="zh-CN"/>
        </w:rPr>
        <w:t>减少40.89</w:t>
      </w:r>
      <w:r>
        <w:rPr>
          <w:rFonts w:hint="eastAsia" w:ascii="仿宋" w:hAnsi="仿宋" w:eastAsia="仿宋" w:cs="仿宋"/>
          <w:b w:val="0"/>
          <w:bCs w:val="0"/>
          <w:sz w:val="32"/>
          <w:szCs w:val="32"/>
        </w:rPr>
        <w:t>万元；3、卫生健康支出</w:t>
      </w:r>
      <w:r>
        <w:rPr>
          <w:rFonts w:hint="eastAsia" w:ascii="仿宋" w:hAnsi="仿宋" w:eastAsia="仿宋" w:cs="仿宋"/>
          <w:b w:val="0"/>
          <w:bCs w:val="0"/>
          <w:sz w:val="32"/>
          <w:szCs w:val="32"/>
          <w:lang w:val="en-US" w:eastAsia="zh-CN"/>
        </w:rPr>
        <w:t>减少1.84</w:t>
      </w:r>
      <w:r>
        <w:rPr>
          <w:rFonts w:hint="eastAsia" w:ascii="仿宋" w:hAnsi="仿宋" w:eastAsia="仿宋" w:cs="仿宋"/>
          <w:b w:val="0"/>
          <w:bCs w:val="0"/>
          <w:sz w:val="32"/>
          <w:szCs w:val="32"/>
        </w:rPr>
        <w:t>万元；4、</w:t>
      </w:r>
      <w:r>
        <w:rPr>
          <w:rFonts w:hint="eastAsia" w:ascii="仿宋" w:hAnsi="仿宋" w:eastAsia="仿宋" w:cs="仿宋"/>
          <w:b w:val="0"/>
          <w:bCs w:val="0"/>
          <w:sz w:val="32"/>
          <w:szCs w:val="32"/>
          <w:lang w:val="en-US" w:eastAsia="zh-CN"/>
        </w:rPr>
        <w:t>住房保障支出增加13.71</w:t>
      </w:r>
      <w:r>
        <w:rPr>
          <w:rFonts w:hint="eastAsia" w:ascii="仿宋" w:hAnsi="仿宋" w:eastAsia="仿宋" w:cs="仿宋"/>
          <w:b w:val="0"/>
          <w:bCs w:val="0"/>
          <w:sz w:val="32"/>
          <w:szCs w:val="32"/>
        </w:rPr>
        <w:t>万元；5、农林水支出增加</w:t>
      </w:r>
      <w:r>
        <w:rPr>
          <w:rFonts w:hint="eastAsia" w:ascii="仿宋" w:hAnsi="仿宋" w:eastAsia="仿宋" w:cs="仿宋"/>
          <w:b w:val="0"/>
          <w:bCs w:val="0"/>
          <w:sz w:val="32"/>
          <w:szCs w:val="32"/>
          <w:lang w:val="en-US" w:eastAsia="zh-CN"/>
        </w:rPr>
        <w:t>2015.93</w:t>
      </w:r>
      <w:r>
        <w:rPr>
          <w:rFonts w:hint="eastAsia" w:ascii="仿宋" w:hAnsi="仿宋" w:eastAsia="仿宋" w:cs="仿宋"/>
          <w:b w:val="0"/>
          <w:bCs w:val="0"/>
          <w:sz w:val="32"/>
          <w:szCs w:val="32"/>
        </w:rPr>
        <w:t>万元；</w:t>
      </w:r>
      <w:r>
        <w:rPr>
          <w:rFonts w:hint="eastAsia" w:ascii="仿宋" w:hAnsi="仿宋" w:eastAsia="仿宋" w:cs="仿宋"/>
          <w:b w:val="0"/>
          <w:bCs w:val="0"/>
          <w:sz w:val="32"/>
          <w:szCs w:val="32"/>
          <w:lang w:val="en-US" w:eastAsia="zh-CN"/>
        </w:rPr>
        <w:t>6、公共安全支出减少7.85万元；7、文化旅游体育与传媒支出减少0.6万元；8、资源勘探工业信息等支出14.67万元；9、交通运输支出增加15.7万元；11、灾害防治及应急管理支出增加32.5万元；12、其他支出减少9.6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659"/>
        <w:textAlignment w:val="baseline"/>
        <w:outlineLvl w:val="2"/>
        <w:rPr>
          <w:rFonts w:hint="eastAsia" w:ascii="仿宋" w:hAnsi="仿宋" w:eastAsia="仿宋" w:cs="仿宋"/>
          <w:b w:val="0"/>
          <w:bCs w:val="0"/>
          <w:sz w:val="32"/>
          <w:szCs w:val="32"/>
        </w:rPr>
      </w:pPr>
      <w:r>
        <w:rPr>
          <w:rFonts w:hint="eastAsia" w:ascii="仿宋" w:hAnsi="仿宋" w:eastAsia="仿宋" w:cs="仿宋"/>
          <w:b w:val="0"/>
          <w:bCs w:val="0"/>
          <w:spacing w:val="4"/>
          <w:sz w:val="32"/>
          <w:szCs w:val="32"/>
        </w:rPr>
        <w:t>（二）一般公共预算财政拨款支出决算结构情况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68" w:right="7" w:firstLine="603"/>
        <w:jc w:val="both"/>
        <w:textAlignment w:val="baseline"/>
        <w:rPr>
          <w:rFonts w:hint="eastAsia" w:ascii="仿宋" w:hAnsi="仿宋" w:eastAsia="仿宋" w:cs="仿宋"/>
          <w:b w:val="0"/>
          <w:bCs w:val="0"/>
          <w:spacing w:val="-16"/>
          <w:sz w:val="32"/>
          <w:szCs w:val="32"/>
          <w:lang w:val="en-US" w:eastAsia="zh-CN"/>
        </w:rPr>
      </w:pPr>
      <w:r>
        <w:rPr>
          <w:rFonts w:hint="eastAsia" w:ascii="仿宋" w:hAnsi="仿宋" w:eastAsia="仿宋" w:cs="仿宋"/>
          <w:b w:val="0"/>
          <w:bCs w:val="0"/>
          <w:spacing w:val="4"/>
          <w:sz w:val="32"/>
          <w:szCs w:val="32"/>
        </w:rPr>
        <w:t>2023年度一般公共预算财政拨款支出</w:t>
      </w:r>
      <w:r>
        <w:rPr>
          <w:rFonts w:hint="eastAsia" w:ascii="仿宋" w:hAnsi="仿宋" w:eastAsia="仿宋" w:cs="仿宋"/>
          <w:b w:val="0"/>
          <w:bCs w:val="0"/>
          <w:spacing w:val="-6"/>
          <w:sz w:val="32"/>
          <w:szCs w:val="32"/>
        </w:rPr>
        <w:t>3920.8</w:t>
      </w:r>
      <w:r>
        <w:rPr>
          <w:rFonts w:hint="eastAsia" w:ascii="仿宋" w:hAnsi="仿宋" w:eastAsia="仿宋" w:cs="仿宋"/>
          <w:b w:val="0"/>
          <w:bCs w:val="0"/>
          <w:spacing w:val="-6"/>
          <w:sz w:val="32"/>
          <w:szCs w:val="32"/>
          <w:lang w:val="en-US" w:eastAsia="zh-CN"/>
        </w:rPr>
        <w:t>6</w:t>
      </w:r>
      <w:r>
        <w:rPr>
          <w:rFonts w:hint="eastAsia" w:ascii="仿宋" w:hAnsi="仿宋" w:eastAsia="仿宋" w:cs="仿宋"/>
          <w:b w:val="0"/>
          <w:bCs w:val="0"/>
          <w:spacing w:val="4"/>
          <w:sz w:val="32"/>
          <w:szCs w:val="32"/>
        </w:rPr>
        <w:t>万元，主要用于</w:t>
      </w:r>
      <w:r>
        <w:rPr>
          <w:rFonts w:hint="eastAsia" w:ascii="仿宋" w:hAnsi="仿宋" w:eastAsia="仿宋" w:cs="仿宋"/>
          <w:b w:val="0"/>
          <w:bCs w:val="0"/>
          <w:spacing w:val="-6"/>
          <w:sz w:val="32"/>
          <w:szCs w:val="32"/>
        </w:rPr>
        <w:t>以下方面：一般公共服务支出811.73</w:t>
      </w:r>
      <w:r>
        <w:rPr>
          <w:rFonts w:hint="eastAsia" w:ascii="仿宋" w:hAnsi="仿宋" w:eastAsia="仿宋" w:cs="仿宋"/>
          <w:b w:val="0"/>
          <w:bCs w:val="0"/>
          <w:spacing w:val="-6"/>
          <w:sz w:val="32"/>
          <w:szCs w:val="32"/>
          <w:lang w:val="en-US" w:eastAsia="zh-CN"/>
        </w:rPr>
        <w:t>万元</w:t>
      </w:r>
      <w:r>
        <w:rPr>
          <w:rFonts w:hint="eastAsia" w:ascii="仿宋" w:hAnsi="仿宋" w:eastAsia="仿宋" w:cs="仿宋"/>
          <w:b w:val="0"/>
          <w:bCs w:val="0"/>
          <w:spacing w:val="-6"/>
          <w:sz w:val="32"/>
          <w:szCs w:val="32"/>
        </w:rPr>
        <w:t>，占</w:t>
      </w:r>
      <w:r>
        <w:rPr>
          <w:rFonts w:hint="eastAsia" w:ascii="仿宋" w:hAnsi="仿宋" w:eastAsia="仿宋" w:cs="仿宋"/>
          <w:b w:val="0"/>
          <w:bCs w:val="0"/>
          <w:spacing w:val="-6"/>
          <w:sz w:val="32"/>
          <w:szCs w:val="32"/>
          <w:lang w:val="en-US" w:eastAsia="zh-CN"/>
        </w:rPr>
        <w:t>20.70</w:t>
      </w:r>
      <w:r>
        <w:rPr>
          <w:rFonts w:hint="eastAsia" w:ascii="仿宋" w:hAnsi="仿宋" w:eastAsia="仿宋" w:cs="仿宋"/>
          <w:b w:val="0"/>
          <w:bCs w:val="0"/>
          <w:spacing w:val="-6"/>
          <w:sz w:val="32"/>
          <w:szCs w:val="32"/>
        </w:rPr>
        <w:t>%；社会保障和就业支出133.27</w:t>
      </w:r>
      <w:r>
        <w:rPr>
          <w:rFonts w:hint="eastAsia" w:ascii="仿宋" w:hAnsi="仿宋" w:eastAsia="仿宋" w:cs="仿宋"/>
          <w:b w:val="0"/>
          <w:bCs w:val="0"/>
          <w:spacing w:val="-6"/>
          <w:sz w:val="32"/>
          <w:szCs w:val="32"/>
          <w:lang w:val="en-US" w:eastAsia="zh-CN"/>
        </w:rPr>
        <w:t>万元</w:t>
      </w:r>
      <w:r>
        <w:rPr>
          <w:rFonts w:hint="eastAsia" w:ascii="仿宋" w:hAnsi="仿宋" w:eastAsia="仿宋" w:cs="仿宋"/>
          <w:b w:val="0"/>
          <w:bCs w:val="0"/>
          <w:spacing w:val="-6"/>
          <w:sz w:val="32"/>
          <w:szCs w:val="32"/>
        </w:rPr>
        <w:t>，</w:t>
      </w:r>
      <w:r>
        <w:rPr>
          <w:rFonts w:hint="eastAsia" w:ascii="仿宋" w:hAnsi="仿宋" w:eastAsia="仿宋" w:cs="仿宋"/>
          <w:b w:val="0"/>
          <w:bCs w:val="0"/>
          <w:spacing w:val="3"/>
          <w:sz w:val="32"/>
          <w:szCs w:val="32"/>
        </w:rPr>
        <w:t>占</w:t>
      </w:r>
      <w:r>
        <w:rPr>
          <w:rFonts w:hint="eastAsia" w:ascii="仿宋" w:hAnsi="仿宋" w:eastAsia="仿宋" w:cs="仿宋"/>
          <w:b w:val="0"/>
          <w:bCs w:val="0"/>
          <w:spacing w:val="3"/>
          <w:sz w:val="32"/>
          <w:szCs w:val="32"/>
          <w:lang w:val="en-US" w:eastAsia="zh-CN"/>
        </w:rPr>
        <w:t>3.40</w:t>
      </w:r>
      <w:r>
        <w:rPr>
          <w:rFonts w:hint="eastAsia" w:ascii="仿宋" w:hAnsi="仿宋" w:eastAsia="仿宋" w:cs="仿宋"/>
          <w:b w:val="0"/>
          <w:bCs w:val="0"/>
          <w:spacing w:val="3"/>
          <w:sz w:val="32"/>
          <w:szCs w:val="32"/>
        </w:rPr>
        <w:t>%；</w:t>
      </w:r>
      <w:r>
        <w:rPr>
          <w:rFonts w:hint="eastAsia" w:ascii="仿宋" w:hAnsi="仿宋" w:eastAsia="仿宋" w:cs="仿宋"/>
          <w:b w:val="0"/>
          <w:bCs w:val="0"/>
          <w:sz w:val="32"/>
          <w:szCs w:val="32"/>
        </w:rPr>
        <w:t>卫生健康支出41.67</w:t>
      </w:r>
      <w:r>
        <w:rPr>
          <w:rFonts w:hint="eastAsia" w:ascii="仿宋" w:hAnsi="仿宋" w:eastAsia="仿宋" w:cs="仿宋"/>
          <w:b w:val="0"/>
          <w:bCs w:val="0"/>
          <w:spacing w:val="3"/>
          <w:sz w:val="32"/>
          <w:szCs w:val="32"/>
        </w:rPr>
        <w:t>万元，占</w:t>
      </w:r>
      <w:r>
        <w:rPr>
          <w:rFonts w:hint="eastAsia" w:ascii="仿宋" w:hAnsi="仿宋" w:eastAsia="仿宋" w:cs="仿宋"/>
          <w:b w:val="0"/>
          <w:bCs w:val="0"/>
          <w:spacing w:val="3"/>
          <w:sz w:val="32"/>
          <w:szCs w:val="32"/>
          <w:lang w:val="en-US" w:eastAsia="zh-CN"/>
        </w:rPr>
        <w:t>1.06</w:t>
      </w:r>
      <w:r>
        <w:rPr>
          <w:rFonts w:hint="eastAsia" w:ascii="仿宋" w:hAnsi="仿宋" w:eastAsia="仿宋" w:cs="仿宋"/>
          <w:b w:val="0"/>
          <w:bCs w:val="0"/>
          <w:spacing w:val="3"/>
          <w:sz w:val="32"/>
          <w:szCs w:val="32"/>
        </w:rPr>
        <w:t>%；</w:t>
      </w:r>
      <w:r>
        <w:rPr>
          <w:rFonts w:hint="eastAsia" w:ascii="仿宋" w:hAnsi="仿宋" w:eastAsia="仿宋" w:cs="仿宋"/>
          <w:b w:val="0"/>
          <w:bCs w:val="0"/>
          <w:sz w:val="32"/>
          <w:szCs w:val="32"/>
        </w:rPr>
        <w:t>农林水支出2,825.66</w:t>
      </w:r>
      <w:r>
        <w:rPr>
          <w:rFonts w:hint="eastAsia" w:ascii="仿宋" w:hAnsi="仿宋" w:eastAsia="仿宋" w:cs="仿宋"/>
          <w:b w:val="0"/>
          <w:bCs w:val="0"/>
          <w:spacing w:val="3"/>
          <w:sz w:val="32"/>
          <w:szCs w:val="32"/>
        </w:rPr>
        <w:t>万元，占</w:t>
      </w:r>
      <w:r>
        <w:rPr>
          <w:rFonts w:hint="eastAsia" w:ascii="仿宋" w:hAnsi="仿宋" w:eastAsia="仿宋" w:cs="仿宋"/>
          <w:b w:val="0"/>
          <w:bCs w:val="0"/>
          <w:spacing w:val="3"/>
          <w:sz w:val="32"/>
          <w:szCs w:val="32"/>
          <w:lang w:val="en-US" w:eastAsia="zh-CN"/>
        </w:rPr>
        <w:t>72.07</w:t>
      </w:r>
      <w:r>
        <w:rPr>
          <w:rFonts w:hint="eastAsia" w:ascii="仿宋" w:hAnsi="仿宋" w:eastAsia="仿宋" w:cs="仿宋"/>
          <w:b w:val="0"/>
          <w:bCs w:val="0"/>
          <w:spacing w:val="3"/>
          <w:sz w:val="32"/>
          <w:szCs w:val="32"/>
        </w:rPr>
        <w:t>%；</w:t>
      </w:r>
      <w:r>
        <w:rPr>
          <w:rFonts w:hint="eastAsia" w:ascii="仿宋" w:hAnsi="仿宋" w:eastAsia="仿宋" w:cs="仿宋"/>
          <w:b w:val="0"/>
          <w:bCs w:val="0"/>
          <w:sz w:val="32"/>
          <w:szCs w:val="32"/>
        </w:rPr>
        <w:t>交通运输支出15.70</w:t>
      </w:r>
      <w:r>
        <w:rPr>
          <w:rFonts w:hint="eastAsia" w:ascii="仿宋" w:hAnsi="仿宋" w:eastAsia="仿宋" w:cs="仿宋"/>
          <w:b w:val="0"/>
          <w:bCs w:val="0"/>
          <w:spacing w:val="3"/>
          <w:sz w:val="32"/>
          <w:szCs w:val="32"/>
        </w:rPr>
        <w:t>支</w:t>
      </w:r>
      <w:r>
        <w:rPr>
          <w:rFonts w:hint="eastAsia" w:ascii="仿宋" w:hAnsi="仿宋" w:eastAsia="仿宋" w:cs="仿宋"/>
          <w:b w:val="0"/>
          <w:bCs w:val="0"/>
          <w:spacing w:val="-16"/>
          <w:sz w:val="32"/>
          <w:szCs w:val="32"/>
        </w:rPr>
        <w:t>出万元，占</w:t>
      </w:r>
      <w:r>
        <w:rPr>
          <w:rFonts w:hint="eastAsia" w:ascii="仿宋" w:hAnsi="仿宋" w:eastAsia="仿宋" w:cs="仿宋"/>
          <w:b w:val="0"/>
          <w:bCs w:val="0"/>
          <w:spacing w:val="-16"/>
          <w:sz w:val="32"/>
          <w:szCs w:val="32"/>
          <w:lang w:val="en-US" w:eastAsia="zh-CN"/>
        </w:rPr>
        <w:t xml:space="preserve">0.04 </w:t>
      </w:r>
      <w:r>
        <w:rPr>
          <w:rFonts w:hint="eastAsia" w:ascii="仿宋" w:hAnsi="仿宋" w:eastAsia="仿宋" w:cs="仿宋"/>
          <w:b w:val="0"/>
          <w:bCs w:val="0"/>
          <w:spacing w:val="-16"/>
          <w:sz w:val="32"/>
          <w:szCs w:val="32"/>
        </w:rPr>
        <w:t>%；住房保障支出60.33</w:t>
      </w:r>
      <w:r>
        <w:rPr>
          <w:rFonts w:hint="eastAsia" w:ascii="仿宋" w:hAnsi="仿宋" w:eastAsia="仿宋" w:cs="仿宋"/>
          <w:b w:val="0"/>
          <w:bCs w:val="0"/>
          <w:spacing w:val="-16"/>
          <w:sz w:val="32"/>
          <w:szCs w:val="32"/>
          <w:lang w:val="en-US" w:eastAsia="zh-CN"/>
        </w:rPr>
        <w:t>万元，占1.54%；灾害防治及应急管理支出32.50万元，占0.83%。</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659"/>
        <w:textAlignment w:val="baseline"/>
        <w:outlineLvl w:val="2"/>
        <w:rPr>
          <w:rFonts w:hint="eastAsia" w:ascii="仿宋" w:hAnsi="仿宋" w:eastAsia="仿宋" w:cs="仿宋"/>
          <w:b w:val="0"/>
          <w:bCs w:val="0"/>
          <w:sz w:val="32"/>
          <w:szCs w:val="32"/>
        </w:rPr>
      </w:pPr>
      <w:r>
        <w:rPr>
          <w:rFonts w:hint="eastAsia" w:ascii="仿宋" w:hAnsi="仿宋" w:eastAsia="仿宋" w:cs="仿宋"/>
          <w:b w:val="0"/>
          <w:bCs w:val="0"/>
          <w:spacing w:val="4"/>
          <w:sz w:val="32"/>
          <w:szCs w:val="32"/>
        </w:rPr>
        <w:t>（三）一般公共预算财政拨款支出决算具体情况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8" w:right="86" w:firstLine="633"/>
        <w:textAlignment w:val="baseline"/>
        <w:rPr>
          <w:rFonts w:hint="eastAsia" w:ascii="仿宋" w:hAnsi="仿宋" w:eastAsia="仿宋" w:cs="仿宋"/>
          <w:b w:val="0"/>
          <w:bCs w:val="0"/>
          <w:sz w:val="32"/>
          <w:szCs w:val="32"/>
        </w:rPr>
      </w:pPr>
      <w:r>
        <w:rPr>
          <w:rFonts w:hint="eastAsia" w:ascii="仿宋" w:hAnsi="仿宋" w:eastAsia="仿宋" w:cs="仿宋"/>
          <w:b w:val="0"/>
          <w:bCs w:val="0"/>
          <w:spacing w:val="12"/>
          <w:sz w:val="32"/>
          <w:szCs w:val="32"/>
        </w:rPr>
        <w:t>2023年度一般公共预算财政拨款支出年初预算为</w:t>
      </w:r>
      <w:r>
        <w:rPr>
          <w:rFonts w:hint="eastAsia" w:ascii="仿宋" w:hAnsi="仿宋" w:eastAsia="仿宋" w:cs="仿宋"/>
          <w:b w:val="0"/>
          <w:bCs w:val="0"/>
          <w:spacing w:val="-6"/>
          <w:sz w:val="32"/>
          <w:szCs w:val="32"/>
        </w:rPr>
        <w:t>3920.8</w:t>
      </w:r>
      <w:r>
        <w:rPr>
          <w:rFonts w:hint="eastAsia" w:ascii="仿宋" w:hAnsi="仿宋" w:eastAsia="仿宋" w:cs="仿宋"/>
          <w:b w:val="0"/>
          <w:bCs w:val="0"/>
          <w:spacing w:val="-6"/>
          <w:sz w:val="32"/>
          <w:szCs w:val="32"/>
          <w:lang w:val="en-US" w:eastAsia="zh-CN"/>
        </w:rPr>
        <w:t>6</w:t>
      </w:r>
      <w:r>
        <w:rPr>
          <w:rFonts w:hint="eastAsia" w:ascii="仿宋" w:hAnsi="仿宋" w:eastAsia="仿宋" w:cs="仿宋"/>
          <w:b w:val="0"/>
          <w:bCs w:val="0"/>
          <w:spacing w:val="12"/>
          <w:sz w:val="32"/>
          <w:szCs w:val="32"/>
        </w:rPr>
        <w:t>万</w:t>
      </w:r>
      <w:r>
        <w:rPr>
          <w:rFonts w:hint="eastAsia" w:ascii="仿宋" w:hAnsi="仿宋" w:eastAsia="仿宋" w:cs="仿宋"/>
          <w:b w:val="0"/>
          <w:bCs w:val="0"/>
          <w:spacing w:val="4"/>
          <w:sz w:val="32"/>
          <w:szCs w:val="32"/>
        </w:rPr>
        <w:t>元，支出决算为</w:t>
      </w:r>
      <w:r>
        <w:rPr>
          <w:rFonts w:hint="eastAsia" w:ascii="仿宋" w:hAnsi="仿宋" w:eastAsia="仿宋" w:cs="仿宋"/>
          <w:b w:val="0"/>
          <w:bCs w:val="0"/>
          <w:spacing w:val="-6"/>
          <w:sz w:val="32"/>
          <w:szCs w:val="32"/>
        </w:rPr>
        <w:t>3920.8</w:t>
      </w:r>
      <w:r>
        <w:rPr>
          <w:rFonts w:hint="eastAsia" w:ascii="仿宋" w:hAnsi="仿宋" w:eastAsia="仿宋" w:cs="仿宋"/>
          <w:b w:val="0"/>
          <w:bCs w:val="0"/>
          <w:spacing w:val="-6"/>
          <w:sz w:val="32"/>
          <w:szCs w:val="32"/>
          <w:lang w:val="en-US" w:eastAsia="zh-CN"/>
        </w:rPr>
        <w:t>6</w:t>
      </w:r>
      <w:r>
        <w:rPr>
          <w:rFonts w:hint="eastAsia" w:ascii="仿宋" w:hAnsi="仿宋" w:eastAsia="仿宋" w:cs="仿宋"/>
          <w:b w:val="0"/>
          <w:bCs w:val="0"/>
          <w:spacing w:val="4"/>
          <w:sz w:val="32"/>
          <w:szCs w:val="32"/>
        </w:rPr>
        <w:t>万元，完成年初预算的</w:t>
      </w:r>
      <w:r>
        <w:rPr>
          <w:rFonts w:hint="eastAsia" w:ascii="仿宋" w:hAnsi="仿宋" w:eastAsia="仿宋" w:cs="仿宋"/>
          <w:b w:val="0"/>
          <w:bCs w:val="0"/>
          <w:spacing w:val="4"/>
          <w:sz w:val="32"/>
          <w:szCs w:val="32"/>
          <w:lang w:val="en-US" w:eastAsia="zh-CN"/>
        </w:rPr>
        <w:t>100</w:t>
      </w:r>
      <w:r>
        <w:rPr>
          <w:rFonts w:hint="eastAsia" w:ascii="仿宋" w:hAnsi="仿宋" w:eastAsia="仿宋" w:cs="仿宋"/>
          <w:b w:val="0"/>
          <w:bCs w:val="0"/>
          <w:spacing w:val="4"/>
          <w:sz w:val="32"/>
          <w:szCs w:val="32"/>
        </w:rPr>
        <w:t>%。其中：</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0" w:firstLine="660"/>
        <w:textAlignment w:val="baseline"/>
        <w:rPr>
          <w:rFonts w:hint="eastAsia" w:ascii="仿宋" w:hAnsi="仿宋" w:eastAsia="仿宋" w:cs="仿宋"/>
          <w:b w:val="0"/>
          <w:bCs w:val="0"/>
          <w:sz w:val="32"/>
          <w:szCs w:val="32"/>
        </w:rPr>
      </w:pPr>
      <w:r>
        <w:rPr>
          <w:rFonts w:hint="eastAsia" w:ascii="仿宋" w:hAnsi="仿宋" w:eastAsia="仿宋" w:cs="仿宋"/>
          <w:b w:val="0"/>
          <w:bCs w:val="0"/>
          <w:spacing w:val="-12"/>
          <w:sz w:val="32"/>
          <w:szCs w:val="32"/>
        </w:rPr>
        <w:t>1.一般公共服务财政事务行政运行。</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pacing w:val="20"/>
          <w:sz w:val="32"/>
          <w:szCs w:val="32"/>
        </w:rPr>
        <w:t>年初预算为万元，支出决算为811.7</w:t>
      </w:r>
      <w:r>
        <w:rPr>
          <w:rFonts w:hint="eastAsia" w:ascii="仿宋" w:hAnsi="仿宋" w:eastAsia="仿宋" w:cs="仿宋"/>
          <w:b w:val="0"/>
          <w:bCs w:val="0"/>
          <w:spacing w:val="20"/>
          <w:sz w:val="32"/>
          <w:szCs w:val="32"/>
          <w:lang w:val="en-US" w:eastAsia="zh-CN"/>
        </w:rPr>
        <w:t>3</w:t>
      </w:r>
      <w:r>
        <w:rPr>
          <w:rFonts w:hint="eastAsia" w:ascii="仿宋" w:hAnsi="仿宋" w:eastAsia="仿宋" w:cs="仿宋"/>
          <w:b w:val="0"/>
          <w:bCs w:val="0"/>
          <w:spacing w:val="20"/>
          <w:sz w:val="32"/>
          <w:szCs w:val="32"/>
        </w:rPr>
        <w:t>万元，完成年初预算</w:t>
      </w:r>
      <w:r>
        <w:rPr>
          <w:rFonts w:hint="eastAsia" w:ascii="仿宋" w:hAnsi="仿宋" w:eastAsia="仿宋" w:cs="仿宋"/>
          <w:b w:val="0"/>
          <w:bCs w:val="0"/>
          <w:spacing w:val="4"/>
          <w:sz w:val="32"/>
          <w:szCs w:val="32"/>
        </w:rPr>
        <w:t>的</w:t>
      </w:r>
      <w:r>
        <w:rPr>
          <w:rFonts w:hint="eastAsia" w:ascii="仿宋" w:hAnsi="仿宋" w:eastAsia="仿宋" w:cs="仿宋"/>
          <w:b w:val="0"/>
          <w:bCs w:val="0"/>
          <w:spacing w:val="4"/>
          <w:sz w:val="32"/>
          <w:szCs w:val="32"/>
          <w:lang w:val="en-US" w:eastAsia="zh-CN"/>
        </w:rPr>
        <w:t>100</w:t>
      </w:r>
      <w:r>
        <w:rPr>
          <w:rFonts w:hint="eastAsia" w:ascii="仿宋" w:hAnsi="仿宋" w:eastAsia="仿宋" w:cs="仿宋"/>
          <w:b w:val="0"/>
          <w:bCs w:val="0"/>
          <w:spacing w:val="4"/>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right="98" w:firstLine="636"/>
        <w:textAlignment w:val="baseline"/>
        <w:rPr>
          <w:rFonts w:hint="eastAsia" w:ascii="仿宋" w:hAnsi="仿宋" w:eastAsia="仿宋" w:cs="仿宋"/>
          <w:b w:val="0"/>
          <w:bCs w:val="0"/>
          <w:sz w:val="32"/>
          <w:szCs w:val="32"/>
        </w:rPr>
      </w:pPr>
      <w:r>
        <w:rPr>
          <w:rFonts w:hint="eastAsia" w:ascii="仿宋" w:hAnsi="仿宋" w:eastAsia="仿宋" w:cs="仿宋"/>
          <w:b w:val="0"/>
          <w:bCs w:val="0"/>
          <w:spacing w:val="3"/>
          <w:sz w:val="32"/>
          <w:szCs w:val="32"/>
        </w:rPr>
        <w:t>2.</w:t>
      </w:r>
      <w:r>
        <w:rPr>
          <w:rFonts w:hint="eastAsia" w:ascii="仿宋" w:hAnsi="仿宋" w:eastAsia="仿宋" w:cs="仿宋"/>
          <w:b w:val="0"/>
          <w:bCs w:val="0"/>
          <w:sz w:val="32"/>
          <w:szCs w:val="32"/>
        </w:rPr>
        <w:t>社会保障和就业</w:t>
      </w:r>
      <w:r>
        <w:rPr>
          <w:rFonts w:hint="eastAsia" w:ascii="仿宋" w:hAnsi="仿宋" w:eastAsia="仿宋" w:cs="仿宋"/>
          <w:b w:val="0"/>
          <w:bCs w:val="0"/>
          <w:spacing w:val="-12"/>
          <w:sz w:val="32"/>
          <w:szCs w:val="32"/>
        </w:rPr>
        <w:t>财政事务行政运行</w:t>
      </w:r>
      <w:r>
        <w:rPr>
          <w:rFonts w:hint="eastAsia" w:ascii="仿宋" w:hAnsi="仿宋" w:eastAsia="仿宋" w:cs="仿宋"/>
          <w:b w:val="0"/>
          <w:bCs w:val="0"/>
          <w:spacing w:val="3"/>
          <w:sz w:val="32"/>
          <w:szCs w:val="32"/>
        </w:rPr>
        <w:t>。</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pacing w:val="3"/>
          <w:sz w:val="32"/>
          <w:szCs w:val="32"/>
        </w:rPr>
        <w:t>年初预算为133.27万元，</w:t>
      </w:r>
      <w:r>
        <w:rPr>
          <w:rFonts w:hint="eastAsia" w:ascii="仿宋" w:hAnsi="仿宋" w:eastAsia="仿宋" w:cs="仿宋"/>
          <w:b w:val="0"/>
          <w:bCs w:val="0"/>
          <w:spacing w:val="13"/>
          <w:sz w:val="32"/>
          <w:szCs w:val="32"/>
        </w:rPr>
        <w:t>支出决算为</w:t>
      </w:r>
      <w:r>
        <w:rPr>
          <w:rFonts w:hint="eastAsia" w:ascii="仿宋" w:hAnsi="仿宋" w:eastAsia="仿宋" w:cs="仿宋"/>
          <w:b w:val="0"/>
          <w:bCs w:val="0"/>
          <w:spacing w:val="3"/>
          <w:sz w:val="32"/>
          <w:szCs w:val="32"/>
        </w:rPr>
        <w:t>133.27</w:t>
      </w:r>
      <w:r>
        <w:rPr>
          <w:rFonts w:hint="eastAsia" w:ascii="仿宋" w:hAnsi="仿宋" w:eastAsia="仿宋" w:cs="仿宋"/>
          <w:b w:val="0"/>
          <w:bCs w:val="0"/>
          <w:spacing w:val="13"/>
          <w:sz w:val="32"/>
          <w:szCs w:val="32"/>
        </w:rPr>
        <w:t>万元，完成年初预算的</w:t>
      </w:r>
      <w:r>
        <w:rPr>
          <w:rFonts w:hint="eastAsia" w:ascii="仿宋" w:hAnsi="仿宋" w:eastAsia="仿宋" w:cs="仿宋"/>
          <w:b w:val="0"/>
          <w:bCs w:val="0"/>
          <w:spacing w:val="13"/>
          <w:sz w:val="32"/>
          <w:szCs w:val="32"/>
          <w:lang w:val="en-US" w:eastAsia="zh-CN"/>
        </w:rPr>
        <w:t>100</w:t>
      </w:r>
      <w:r>
        <w:rPr>
          <w:rFonts w:hint="eastAsia" w:ascii="仿宋" w:hAnsi="仿宋" w:eastAsia="仿宋" w:cs="仿宋"/>
          <w:b w:val="0"/>
          <w:bCs w:val="0"/>
          <w:spacing w:val="13"/>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right="98" w:firstLine="639"/>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3.卫生健康</w:t>
      </w:r>
      <w:r>
        <w:rPr>
          <w:rFonts w:hint="eastAsia" w:ascii="仿宋" w:hAnsi="仿宋" w:eastAsia="仿宋" w:cs="仿宋"/>
          <w:b w:val="0"/>
          <w:bCs w:val="0"/>
          <w:spacing w:val="-12"/>
          <w:sz w:val="32"/>
          <w:szCs w:val="32"/>
        </w:rPr>
        <w:t>财政事务行政运行</w:t>
      </w:r>
      <w:r>
        <w:rPr>
          <w:rFonts w:hint="eastAsia" w:ascii="仿宋" w:hAnsi="仿宋" w:eastAsia="仿宋" w:cs="仿宋"/>
          <w:b w:val="0"/>
          <w:bCs w:val="0"/>
          <w:sz w:val="32"/>
          <w:szCs w:val="32"/>
        </w:rPr>
        <w:t>。</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z w:val="32"/>
          <w:szCs w:val="32"/>
        </w:rPr>
        <w:t>年初预算为41.67万元，</w:t>
      </w:r>
      <w:r>
        <w:rPr>
          <w:rFonts w:hint="eastAsia" w:ascii="仿宋" w:hAnsi="仿宋" w:eastAsia="仿宋" w:cs="仿宋"/>
          <w:b w:val="0"/>
          <w:bCs w:val="0"/>
          <w:spacing w:val="13"/>
          <w:sz w:val="32"/>
          <w:szCs w:val="32"/>
        </w:rPr>
        <w:t>支出决算为41.67万元，完成年初预算的</w:t>
      </w:r>
      <w:r>
        <w:rPr>
          <w:rFonts w:hint="eastAsia" w:ascii="仿宋" w:hAnsi="仿宋" w:eastAsia="仿宋" w:cs="仿宋"/>
          <w:b w:val="0"/>
          <w:bCs w:val="0"/>
          <w:spacing w:val="13"/>
          <w:sz w:val="32"/>
          <w:szCs w:val="32"/>
          <w:lang w:val="en-US" w:eastAsia="zh-CN"/>
        </w:rPr>
        <w:t>100</w:t>
      </w:r>
      <w:r>
        <w:rPr>
          <w:rFonts w:hint="eastAsia" w:ascii="仿宋" w:hAnsi="仿宋" w:eastAsia="仿宋" w:cs="仿宋"/>
          <w:b w:val="0"/>
          <w:bCs w:val="0"/>
          <w:spacing w:val="13"/>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right="98" w:firstLine="639"/>
        <w:textAlignment w:val="baseline"/>
        <w:rPr>
          <w:rFonts w:hint="eastAsia" w:ascii="仿宋" w:hAnsi="仿宋" w:eastAsia="仿宋" w:cs="仿宋"/>
          <w:b w:val="0"/>
          <w:bCs w:val="0"/>
          <w:color w:val="auto"/>
          <w:spacing w:val="8"/>
          <w:sz w:val="32"/>
          <w:szCs w:val="32"/>
          <w:lang w:val="en-US" w:eastAsia="zh-CN"/>
        </w:rPr>
      </w:pPr>
      <w:r>
        <w:rPr>
          <w:rFonts w:hint="eastAsia" w:ascii="仿宋" w:hAnsi="仿宋" w:eastAsia="仿宋" w:cs="仿宋"/>
          <w:b w:val="0"/>
          <w:bCs w:val="0"/>
          <w:color w:val="auto"/>
          <w:spacing w:val="8"/>
          <w:sz w:val="32"/>
          <w:szCs w:val="32"/>
          <w:lang w:val="en-US" w:eastAsia="zh-CN"/>
        </w:rPr>
        <w:t>4.农林水</w:t>
      </w:r>
      <w:r>
        <w:rPr>
          <w:rFonts w:hint="eastAsia" w:ascii="仿宋" w:hAnsi="仿宋" w:eastAsia="仿宋" w:cs="仿宋"/>
          <w:b w:val="0"/>
          <w:bCs w:val="0"/>
          <w:spacing w:val="-12"/>
          <w:sz w:val="32"/>
          <w:szCs w:val="32"/>
        </w:rPr>
        <w:t>财政事务行政运行</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z w:val="32"/>
          <w:szCs w:val="32"/>
        </w:rPr>
        <w:t>年初预算为2825.66万元，</w:t>
      </w:r>
      <w:r>
        <w:rPr>
          <w:rFonts w:hint="eastAsia" w:ascii="仿宋" w:hAnsi="仿宋" w:eastAsia="仿宋" w:cs="仿宋"/>
          <w:b w:val="0"/>
          <w:bCs w:val="0"/>
          <w:spacing w:val="13"/>
          <w:sz w:val="32"/>
          <w:szCs w:val="32"/>
        </w:rPr>
        <w:t>支出决算为2825.66万元，完成年初预算的</w:t>
      </w:r>
      <w:r>
        <w:rPr>
          <w:rFonts w:hint="eastAsia" w:ascii="仿宋" w:hAnsi="仿宋" w:eastAsia="仿宋" w:cs="仿宋"/>
          <w:b w:val="0"/>
          <w:bCs w:val="0"/>
          <w:spacing w:val="13"/>
          <w:sz w:val="32"/>
          <w:szCs w:val="32"/>
          <w:lang w:val="en-US" w:eastAsia="zh-CN"/>
        </w:rPr>
        <w:t>100</w:t>
      </w:r>
      <w:r>
        <w:rPr>
          <w:rFonts w:hint="eastAsia" w:ascii="仿宋" w:hAnsi="仿宋" w:eastAsia="仿宋" w:cs="仿宋"/>
          <w:b w:val="0"/>
          <w:bCs w:val="0"/>
          <w:spacing w:val="13"/>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right="98" w:firstLine="639"/>
        <w:textAlignment w:val="baseline"/>
        <w:rPr>
          <w:rFonts w:hint="eastAsia" w:ascii="仿宋" w:hAnsi="仿宋" w:eastAsia="仿宋" w:cs="仿宋"/>
          <w:b w:val="0"/>
          <w:bCs w:val="0"/>
          <w:sz w:val="32"/>
          <w:szCs w:val="32"/>
        </w:rPr>
      </w:pPr>
      <w:r>
        <w:rPr>
          <w:rFonts w:hint="eastAsia" w:ascii="仿宋" w:hAnsi="仿宋" w:eastAsia="仿宋" w:cs="仿宋"/>
          <w:b w:val="0"/>
          <w:bCs w:val="0"/>
          <w:color w:val="auto"/>
          <w:spacing w:val="8"/>
          <w:sz w:val="32"/>
          <w:szCs w:val="32"/>
          <w:lang w:val="en-US" w:eastAsia="zh-CN"/>
        </w:rPr>
        <w:t>5.交通运输</w:t>
      </w:r>
      <w:r>
        <w:rPr>
          <w:rFonts w:hint="eastAsia" w:ascii="仿宋" w:hAnsi="仿宋" w:eastAsia="仿宋" w:cs="仿宋"/>
          <w:b w:val="0"/>
          <w:bCs w:val="0"/>
          <w:spacing w:val="-12"/>
          <w:sz w:val="32"/>
          <w:szCs w:val="32"/>
        </w:rPr>
        <w:t>财政事务行政运行</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z w:val="32"/>
          <w:szCs w:val="32"/>
        </w:rPr>
        <w:t>年初预算为15.7万元，</w:t>
      </w:r>
      <w:r>
        <w:rPr>
          <w:rFonts w:hint="eastAsia" w:ascii="仿宋" w:hAnsi="仿宋" w:eastAsia="仿宋" w:cs="仿宋"/>
          <w:b w:val="0"/>
          <w:bCs w:val="0"/>
          <w:spacing w:val="13"/>
          <w:sz w:val="32"/>
          <w:szCs w:val="32"/>
        </w:rPr>
        <w:t>支出决算为15.7万元，完成年初预算的</w:t>
      </w:r>
      <w:r>
        <w:rPr>
          <w:rFonts w:hint="eastAsia" w:ascii="仿宋" w:hAnsi="仿宋" w:eastAsia="仿宋" w:cs="仿宋"/>
          <w:b w:val="0"/>
          <w:bCs w:val="0"/>
          <w:spacing w:val="13"/>
          <w:sz w:val="32"/>
          <w:szCs w:val="32"/>
          <w:lang w:val="en-US" w:eastAsia="zh-CN"/>
        </w:rPr>
        <w:t>100</w:t>
      </w:r>
      <w:r>
        <w:rPr>
          <w:rFonts w:hint="eastAsia" w:ascii="仿宋" w:hAnsi="仿宋" w:eastAsia="仿宋" w:cs="仿宋"/>
          <w:b w:val="0"/>
          <w:bCs w:val="0"/>
          <w:spacing w:val="13"/>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right="98" w:firstLine="639"/>
        <w:textAlignment w:val="baseline"/>
        <w:rPr>
          <w:rFonts w:hint="eastAsia" w:ascii="仿宋" w:hAnsi="仿宋" w:eastAsia="仿宋" w:cs="仿宋"/>
          <w:b w:val="0"/>
          <w:bCs w:val="0"/>
          <w:spacing w:val="13"/>
          <w:sz w:val="32"/>
          <w:szCs w:val="32"/>
        </w:rPr>
      </w:pPr>
      <w:r>
        <w:rPr>
          <w:rFonts w:hint="eastAsia" w:ascii="仿宋" w:hAnsi="仿宋" w:eastAsia="仿宋" w:cs="仿宋"/>
          <w:b w:val="0"/>
          <w:bCs w:val="0"/>
          <w:color w:val="auto"/>
          <w:spacing w:val="8"/>
          <w:sz w:val="32"/>
          <w:szCs w:val="32"/>
          <w:lang w:val="en-US" w:eastAsia="zh-CN"/>
        </w:rPr>
        <w:t>6.住房保障</w:t>
      </w:r>
      <w:r>
        <w:rPr>
          <w:rFonts w:hint="eastAsia" w:ascii="仿宋" w:hAnsi="仿宋" w:eastAsia="仿宋" w:cs="仿宋"/>
          <w:b w:val="0"/>
          <w:bCs w:val="0"/>
          <w:spacing w:val="-12"/>
          <w:sz w:val="32"/>
          <w:szCs w:val="32"/>
        </w:rPr>
        <w:t>财政事务行政运行</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z w:val="32"/>
          <w:szCs w:val="32"/>
        </w:rPr>
        <w:t>年初预算为60.3</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万元，</w:t>
      </w:r>
      <w:r>
        <w:rPr>
          <w:rFonts w:hint="eastAsia" w:ascii="仿宋" w:hAnsi="仿宋" w:eastAsia="仿宋" w:cs="仿宋"/>
          <w:b w:val="0"/>
          <w:bCs w:val="0"/>
          <w:spacing w:val="13"/>
          <w:sz w:val="32"/>
          <w:szCs w:val="32"/>
        </w:rPr>
        <w:t>支出决算为</w:t>
      </w:r>
      <w:r>
        <w:rPr>
          <w:rFonts w:hint="eastAsia" w:ascii="仿宋" w:hAnsi="仿宋" w:eastAsia="仿宋" w:cs="仿宋"/>
          <w:b w:val="0"/>
          <w:bCs w:val="0"/>
          <w:sz w:val="32"/>
          <w:szCs w:val="32"/>
        </w:rPr>
        <w:t>60.3</w:t>
      </w:r>
      <w:r>
        <w:rPr>
          <w:rFonts w:hint="eastAsia" w:ascii="仿宋" w:hAnsi="仿宋" w:eastAsia="仿宋" w:cs="仿宋"/>
          <w:b w:val="0"/>
          <w:bCs w:val="0"/>
          <w:sz w:val="32"/>
          <w:szCs w:val="32"/>
          <w:lang w:val="en-US" w:eastAsia="zh-CN"/>
        </w:rPr>
        <w:t>3</w:t>
      </w:r>
      <w:r>
        <w:rPr>
          <w:rFonts w:hint="eastAsia" w:ascii="仿宋" w:hAnsi="仿宋" w:eastAsia="仿宋" w:cs="仿宋"/>
          <w:b w:val="0"/>
          <w:bCs w:val="0"/>
          <w:spacing w:val="13"/>
          <w:sz w:val="32"/>
          <w:szCs w:val="32"/>
        </w:rPr>
        <w:t>万元，完成年初预算的</w:t>
      </w:r>
      <w:r>
        <w:rPr>
          <w:rFonts w:hint="eastAsia" w:ascii="仿宋" w:hAnsi="仿宋" w:eastAsia="仿宋" w:cs="仿宋"/>
          <w:b w:val="0"/>
          <w:bCs w:val="0"/>
          <w:spacing w:val="13"/>
          <w:sz w:val="32"/>
          <w:szCs w:val="32"/>
          <w:lang w:val="en-US" w:eastAsia="zh-CN"/>
        </w:rPr>
        <w:t>100</w:t>
      </w:r>
      <w:r>
        <w:rPr>
          <w:rFonts w:hint="eastAsia" w:ascii="仿宋" w:hAnsi="仿宋" w:eastAsia="仿宋" w:cs="仿宋"/>
          <w:b w:val="0"/>
          <w:bCs w:val="0"/>
          <w:spacing w:val="13"/>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right="98" w:firstLine="639"/>
        <w:textAlignment w:val="baseline"/>
        <w:rPr>
          <w:rFonts w:hint="eastAsia" w:ascii="仿宋" w:hAnsi="仿宋" w:eastAsia="仿宋" w:cs="仿宋"/>
          <w:b w:val="0"/>
          <w:bCs w:val="0"/>
          <w:sz w:val="32"/>
          <w:szCs w:val="32"/>
        </w:rPr>
      </w:pPr>
      <w:r>
        <w:rPr>
          <w:rFonts w:hint="eastAsia" w:ascii="仿宋" w:hAnsi="仿宋" w:eastAsia="仿宋" w:cs="仿宋"/>
          <w:b w:val="0"/>
          <w:bCs w:val="0"/>
          <w:spacing w:val="13"/>
          <w:sz w:val="32"/>
          <w:szCs w:val="32"/>
          <w:lang w:val="en-US" w:eastAsia="zh-CN"/>
        </w:rPr>
        <w:t>7.灾害防治及应急管理</w:t>
      </w:r>
      <w:r>
        <w:rPr>
          <w:rFonts w:hint="eastAsia" w:ascii="仿宋" w:hAnsi="仿宋" w:eastAsia="仿宋" w:cs="仿宋"/>
          <w:b w:val="0"/>
          <w:bCs w:val="0"/>
          <w:spacing w:val="-12"/>
          <w:sz w:val="32"/>
          <w:szCs w:val="32"/>
        </w:rPr>
        <w:t>财政事务行政运行</w:t>
      </w:r>
      <w:r>
        <w:rPr>
          <w:rFonts w:hint="eastAsia" w:ascii="仿宋" w:hAnsi="仿宋" w:eastAsia="仿宋" w:cs="仿宋"/>
          <w:b w:val="0"/>
          <w:bCs w:val="0"/>
          <w:spacing w:val="-12"/>
          <w:sz w:val="32"/>
          <w:szCs w:val="32"/>
          <w:lang w:val="en-US" w:eastAsia="zh-CN"/>
        </w:rPr>
        <w:t>2023</w:t>
      </w:r>
      <w:r>
        <w:rPr>
          <w:rFonts w:hint="eastAsia" w:ascii="仿宋" w:hAnsi="仿宋" w:eastAsia="仿宋" w:cs="仿宋"/>
          <w:b w:val="0"/>
          <w:bCs w:val="0"/>
          <w:sz w:val="32"/>
          <w:szCs w:val="32"/>
        </w:rPr>
        <w:t>年初预算为</w:t>
      </w:r>
      <w:r>
        <w:rPr>
          <w:rFonts w:hint="eastAsia" w:ascii="仿宋" w:hAnsi="仿宋" w:eastAsia="仿宋" w:cs="仿宋"/>
          <w:b w:val="0"/>
          <w:bCs w:val="0"/>
          <w:spacing w:val="-12"/>
          <w:sz w:val="32"/>
          <w:szCs w:val="32"/>
        </w:rPr>
        <w:t>32.5</w:t>
      </w:r>
      <w:r>
        <w:rPr>
          <w:rFonts w:hint="eastAsia" w:ascii="仿宋" w:hAnsi="仿宋" w:eastAsia="仿宋" w:cs="仿宋"/>
          <w:b w:val="0"/>
          <w:bCs w:val="0"/>
          <w:sz w:val="32"/>
          <w:szCs w:val="32"/>
        </w:rPr>
        <w:t>万元，</w:t>
      </w:r>
      <w:r>
        <w:rPr>
          <w:rFonts w:hint="eastAsia" w:ascii="仿宋" w:hAnsi="仿宋" w:eastAsia="仿宋" w:cs="仿宋"/>
          <w:b w:val="0"/>
          <w:bCs w:val="0"/>
          <w:spacing w:val="13"/>
          <w:sz w:val="32"/>
          <w:szCs w:val="32"/>
        </w:rPr>
        <w:t>支出决算为</w:t>
      </w:r>
      <w:r>
        <w:rPr>
          <w:rFonts w:hint="eastAsia" w:ascii="仿宋" w:hAnsi="仿宋" w:eastAsia="仿宋" w:cs="仿宋"/>
          <w:b w:val="0"/>
          <w:bCs w:val="0"/>
          <w:spacing w:val="-12"/>
          <w:sz w:val="32"/>
          <w:szCs w:val="32"/>
        </w:rPr>
        <w:t>32.5</w:t>
      </w:r>
      <w:r>
        <w:rPr>
          <w:rFonts w:hint="eastAsia" w:ascii="仿宋" w:hAnsi="仿宋" w:eastAsia="仿宋" w:cs="仿宋"/>
          <w:b w:val="0"/>
          <w:bCs w:val="0"/>
          <w:spacing w:val="13"/>
          <w:sz w:val="32"/>
          <w:szCs w:val="32"/>
        </w:rPr>
        <w:t>万元，完成年初预算的</w:t>
      </w:r>
      <w:r>
        <w:rPr>
          <w:rFonts w:hint="eastAsia" w:ascii="仿宋" w:hAnsi="仿宋" w:eastAsia="仿宋" w:cs="仿宋"/>
          <w:b w:val="0"/>
          <w:bCs w:val="0"/>
          <w:spacing w:val="13"/>
          <w:sz w:val="32"/>
          <w:szCs w:val="32"/>
          <w:lang w:val="en-US" w:eastAsia="zh-CN"/>
        </w:rPr>
        <w:t>100</w:t>
      </w:r>
      <w:r>
        <w:rPr>
          <w:rFonts w:hint="eastAsia" w:ascii="仿宋" w:hAnsi="仿宋" w:eastAsia="仿宋" w:cs="仿宋"/>
          <w:b w:val="0"/>
          <w:bCs w:val="0"/>
          <w:spacing w:val="13"/>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677"/>
        <w:textAlignment w:val="baseline"/>
        <w:rPr>
          <w:rFonts w:hint="eastAsia" w:ascii="仿宋" w:hAnsi="仿宋" w:eastAsia="仿宋" w:cs="仿宋"/>
          <w:b w:val="0"/>
          <w:bCs w:val="0"/>
          <w:sz w:val="32"/>
          <w:szCs w:val="32"/>
        </w:rPr>
      </w:pPr>
      <w:r>
        <w:rPr>
          <w:rFonts w:hint="eastAsia" w:ascii="仿宋" w:hAnsi="仿宋" w:eastAsia="仿宋" w:cs="仿宋"/>
          <w:b w:val="0"/>
          <w:bCs w:val="0"/>
          <w:spacing w:val="8"/>
          <w:sz w:val="32"/>
          <w:szCs w:val="32"/>
        </w:rPr>
        <w:t>六、一般公共预算财政拨款基本支出决算情况说明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2022年度一般公共预算财政拨款基本支出</w:t>
      </w:r>
      <w:r>
        <w:rPr>
          <w:rFonts w:hint="eastAsia" w:ascii="仿宋" w:hAnsi="仿宋" w:eastAsia="仿宋" w:cs="仿宋"/>
          <w:b w:val="0"/>
          <w:bCs w:val="0"/>
          <w:sz w:val="32"/>
          <w:szCs w:val="32"/>
          <w:lang w:val="en-US" w:eastAsia="zh-CN"/>
        </w:rPr>
        <w:t>993.70</w:t>
      </w:r>
      <w:r>
        <w:rPr>
          <w:rFonts w:hint="eastAsia" w:ascii="仿宋" w:hAnsi="仿宋" w:eastAsia="仿宋" w:cs="仿宋"/>
          <w:b w:val="0"/>
          <w:bCs w:val="0"/>
          <w:sz w:val="32"/>
          <w:szCs w:val="32"/>
        </w:rPr>
        <w:t>万元，其中：人员经费</w:t>
      </w:r>
      <w:r>
        <w:rPr>
          <w:rFonts w:hint="eastAsia" w:ascii="仿宋" w:hAnsi="仿宋" w:eastAsia="仿宋" w:cs="仿宋"/>
          <w:b w:val="0"/>
          <w:bCs w:val="0"/>
          <w:sz w:val="32"/>
          <w:szCs w:val="32"/>
          <w:lang w:val="en-US" w:eastAsia="zh-CN"/>
        </w:rPr>
        <w:t xml:space="preserve">833.14 </w:t>
      </w:r>
      <w:r>
        <w:rPr>
          <w:rFonts w:hint="eastAsia" w:ascii="仿宋" w:hAnsi="仿宋" w:eastAsia="仿宋" w:cs="仿宋"/>
          <w:b w:val="0"/>
          <w:bCs w:val="0"/>
          <w:sz w:val="32"/>
          <w:szCs w:val="32"/>
        </w:rPr>
        <w:t>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个人农业生产补贴、其他对个人和家庭的补助支出（上述科目须根据本部门情况删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6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公用经费</w:t>
      </w:r>
      <w:r>
        <w:rPr>
          <w:rFonts w:hint="eastAsia" w:ascii="仿宋" w:hAnsi="仿宋" w:eastAsia="仿宋" w:cs="仿宋"/>
          <w:b w:val="0"/>
          <w:bCs w:val="0"/>
          <w:sz w:val="32"/>
          <w:szCs w:val="32"/>
          <w:lang w:val="en-US" w:eastAsia="zh-CN"/>
        </w:rPr>
        <w:t>160.56</w:t>
      </w:r>
      <w:r>
        <w:rPr>
          <w:rFonts w:hint="eastAsia" w:ascii="仿宋" w:hAnsi="仿宋" w:eastAsia="仿宋" w:cs="仿宋"/>
          <w:b w:val="0"/>
          <w:bCs w:val="0"/>
          <w:sz w:val="32"/>
          <w:szCs w:val="32"/>
        </w:rPr>
        <w:t>万元，主要包括：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pacing w:val="9"/>
          <w:sz w:val="32"/>
          <w:szCs w:val="32"/>
        </w:rPr>
        <w:t>七、政府性基金预算财政拨款收入支出决算</w:t>
      </w:r>
      <w:r>
        <w:rPr>
          <w:rFonts w:hint="eastAsia" w:ascii="仿宋" w:hAnsi="仿宋" w:eastAsia="仿宋" w:cs="仿宋"/>
          <w:b w:val="0"/>
          <w:bCs w:val="0"/>
          <w:spacing w:val="8"/>
          <w:sz w:val="32"/>
          <w:szCs w:val="32"/>
        </w:rPr>
        <w:t>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8" w:firstLine="474"/>
        <w:textAlignment w:val="baseline"/>
        <w:rPr>
          <w:rFonts w:hint="eastAsia" w:ascii="仿宋" w:hAnsi="仿宋" w:eastAsia="仿宋" w:cs="仿宋"/>
          <w:b w:val="0"/>
          <w:bCs w:val="0"/>
          <w:sz w:val="32"/>
          <w:szCs w:val="32"/>
          <w:lang w:val="en-US" w:eastAsia="zh-CN"/>
        </w:rPr>
      </w:pPr>
      <w:r>
        <w:rPr>
          <w:rFonts w:hint="eastAsia" w:ascii="仿宋" w:hAnsi="仿宋" w:eastAsia="仿宋" w:cs="仿宋"/>
          <w:b w:val="0"/>
          <w:bCs w:val="0"/>
          <w:spacing w:val="33"/>
          <w:sz w:val="32"/>
          <w:szCs w:val="32"/>
        </w:rPr>
        <w:t>2023年度政府性基金预算财政拨款年初结转和结余</w:t>
      </w:r>
      <w:r>
        <w:rPr>
          <w:rFonts w:hint="eastAsia" w:ascii="仿宋" w:hAnsi="仿宋" w:eastAsia="仿宋" w:cs="仿宋"/>
          <w:b w:val="0"/>
          <w:bCs w:val="0"/>
          <w:spacing w:val="33"/>
          <w:sz w:val="32"/>
          <w:szCs w:val="32"/>
          <w:lang w:val="en-US" w:eastAsia="zh-CN"/>
        </w:rPr>
        <w:t>0</w:t>
      </w:r>
      <w:r>
        <w:rPr>
          <w:rFonts w:hint="eastAsia" w:ascii="仿宋" w:hAnsi="仿宋" w:eastAsia="仿宋" w:cs="仿宋"/>
          <w:b w:val="0"/>
          <w:bCs w:val="0"/>
          <w:sz w:val="32"/>
          <w:szCs w:val="32"/>
        </w:rPr>
        <w:t>万元；本年收入231.33万元，比上年增加</w:t>
      </w:r>
      <w:r>
        <w:rPr>
          <w:rFonts w:hint="eastAsia" w:ascii="仿宋" w:hAnsi="仿宋" w:eastAsia="仿宋" w:cs="仿宋"/>
          <w:b w:val="0"/>
          <w:bCs w:val="0"/>
          <w:sz w:val="32"/>
          <w:szCs w:val="32"/>
          <w:lang w:val="en-US" w:eastAsia="zh-CN"/>
        </w:rPr>
        <w:t>221.73</w:t>
      </w:r>
      <w:r>
        <w:rPr>
          <w:rFonts w:hint="eastAsia" w:ascii="仿宋" w:hAnsi="仿宋" w:eastAsia="仿宋" w:cs="仿宋"/>
          <w:b w:val="0"/>
          <w:bCs w:val="0"/>
          <w:sz w:val="32"/>
          <w:szCs w:val="32"/>
        </w:rPr>
        <w:t>万元</w:t>
      </w:r>
      <w:r>
        <w:rPr>
          <w:rFonts w:hint="eastAsia" w:ascii="仿宋" w:hAnsi="仿宋" w:eastAsia="仿宋" w:cs="仿宋"/>
          <w:b w:val="0"/>
          <w:bCs w:val="0"/>
          <w:spacing w:val="-1"/>
          <w:sz w:val="32"/>
          <w:szCs w:val="32"/>
        </w:rPr>
        <w:t>，增长</w:t>
      </w:r>
      <w:r>
        <w:rPr>
          <w:rFonts w:hint="eastAsia" w:ascii="仿宋" w:hAnsi="仿宋" w:eastAsia="仿宋" w:cs="仿宋"/>
          <w:b w:val="0"/>
          <w:bCs w:val="0"/>
          <w:spacing w:val="-1"/>
          <w:sz w:val="32"/>
          <w:szCs w:val="32"/>
          <w:lang w:val="en-US" w:eastAsia="zh-CN"/>
        </w:rPr>
        <w:t>2300.97</w:t>
      </w:r>
      <w:r>
        <w:rPr>
          <w:rFonts w:hint="eastAsia" w:ascii="仿宋" w:hAnsi="仿宋" w:eastAsia="仿宋" w:cs="仿宋"/>
          <w:b w:val="0"/>
          <w:bCs w:val="0"/>
          <w:spacing w:val="3"/>
          <w:sz w:val="32"/>
          <w:szCs w:val="32"/>
        </w:rPr>
        <w:t>%，主要是农村基础设施建设支出</w:t>
      </w:r>
      <w:r>
        <w:rPr>
          <w:rFonts w:hint="eastAsia" w:ascii="仿宋" w:hAnsi="仿宋" w:eastAsia="仿宋" w:cs="仿宋"/>
          <w:b w:val="0"/>
          <w:bCs w:val="0"/>
          <w:spacing w:val="3"/>
          <w:sz w:val="32"/>
          <w:szCs w:val="32"/>
          <w:lang w:val="en-US" w:eastAsia="zh-CN"/>
        </w:rPr>
        <w:t>增加231.33万元，用于体育事业的彩票公益金支出减少9.6万元。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68" w:firstLineChars="200"/>
        <w:textAlignment w:val="baseline"/>
        <w:rPr>
          <w:rFonts w:hint="eastAsia" w:ascii="仿宋" w:hAnsi="仿宋" w:eastAsia="仿宋" w:cs="仿宋"/>
          <w:b w:val="0"/>
          <w:bCs w:val="0"/>
          <w:spacing w:val="7"/>
          <w:sz w:val="32"/>
          <w:szCs w:val="32"/>
        </w:rPr>
      </w:pPr>
      <w:r>
        <w:rPr>
          <w:rFonts w:hint="eastAsia" w:ascii="仿宋" w:hAnsi="仿宋" w:eastAsia="仿宋" w:cs="仿宋"/>
          <w:b w:val="0"/>
          <w:bCs w:val="0"/>
          <w:spacing w:val="7"/>
          <w:sz w:val="32"/>
          <w:szCs w:val="32"/>
        </w:rPr>
        <w:t>八、国有资本经营预算财政拨款支出决算情况说明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746"/>
        <w:textAlignment w:val="baseline"/>
        <w:rPr>
          <w:rFonts w:hint="eastAsia" w:ascii="仿宋" w:hAnsi="仿宋" w:eastAsia="仿宋" w:cs="仿宋"/>
          <w:b w:val="0"/>
          <w:bCs w:val="0"/>
          <w:spacing w:val="7"/>
          <w:sz w:val="32"/>
          <w:szCs w:val="32"/>
          <w:lang w:val="en-US" w:eastAsia="zh-CN"/>
        </w:rPr>
      </w:pPr>
      <w:r>
        <w:rPr>
          <w:rFonts w:hint="eastAsia" w:ascii="仿宋" w:hAnsi="仿宋" w:eastAsia="仿宋" w:cs="仿宋"/>
          <w:b w:val="0"/>
          <w:bCs w:val="0"/>
          <w:spacing w:val="7"/>
          <w:sz w:val="32"/>
          <w:szCs w:val="32"/>
          <w:lang w:val="en-US" w:eastAsia="zh-CN"/>
        </w:rPr>
        <w:t>无</w:t>
      </w:r>
      <w:r>
        <w:rPr>
          <w:rFonts w:hint="eastAsia" w:ascii="仿宋" w:hAnsi="仿宋" w:eastAsia="仿宋" w:cs="仿宋"/>
          <w:b w:val="0"/>
          <w:bCs w:val="0"/>
          <w:spacing w:val="7"/>
          <w:sz w:val="32"/>
          <w:szCs w:val="32"/>
        </w:rPr>
        <w:t>国有资本经营</w:t>
      </w:r>
      <w:r>
        <w:rPr>
          <w:rFonts w:hint="eastAsia" w:ascii="仿宋" w:hAnsi="仿宋" w:eastAsia="仿宋" w:cs="仿宋"/>
          <w:b w:val="0"/>
          <w:bCs w:val="0"/>
          <w:spacing w:val="7"/>
          <w:sz w:val="32"/>
          <w:szCs w:val="32"/>
          <w:lang w:val="en-US" w:eastAsia="zh-CN"/>
        </w:rPr>
        <w:t>收入支出。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九、财政拨款“三公”经费支出决算情况说明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（一）“三公”经费财政拨款支出决算总体情况说</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2022年度“三公”经费财政拨款支出预算为</w:t>
      </w:r>
      <w:r>
        <w:rPr>
          <w:rFonts w:hint="eastAsia" w:ascii="仿宋" w:hAnsi="仿宋" w:eastAsia="仿宋" w:cs="仿宋"/>
          <w:b w:val="0"/>
          <w:bCs w:val="0"/>
          <w:sz w:val="32"/>
          <w:szCs w:val="32"/>
          <w:lang w:val="en-US" w:eastAsia="zh-CN"/>
        </w:rPr>
        <w:t>6</w:t>
      </w:r>
      <w:r>
        <w:rPr>
          <w:rFonts w:hint="eastAsia" w:ascii="仿宋" w:hAnsi="仿宋" w:eastAsia="仿宋" w:cs="仿宋"/>
          <w:b w:val="0"/>
          <w:bCs w:val="0"/>
          <w:sz w:val="32"/>
          <w:szCs w:val="32"/>
        </w:rPr>
        <w:t>万元，支出决算为</w:t>
      </w:r>
      <w:r>
        <w:rPr>
          <w:rFonts w:hint="eastAsia" w:ascii="仿宋" w:hAnsi="仿宋" w:eastAsia="仿宋" w:cs="仿宋"/>
          <w:b w:val="0"/>
          <w:bCs w:val="0"/>
          <w:sz w:val="32"/>
          <w:szCs w:val="32"/>
          <w:lang w:val="en-US" w:eastAsia="zh-CN"/>
        </w:rPr>
        <w:t>6</w:t>
      </w:r>
      <w:r>
        <w:rPr>
          <w:rFonts w:hint="eastAsia" w:ascii="仿宋" w:hAnsi="仿宋" w:eastAsia="仿宋" w:cs="仿宋"/>
          <w:b w:val="0"/>
          <w:bCs w:val="0"/>
          <w:sz w:val="32"/>
          <w:szCs w:val="32"/>
        </w:rPr>
        <w:t>万元，完成预算的</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（二）“三公”经费财政拨款支出决算具体情况说明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2022年度“三公”经费财政拨款支出决算中，因公出国（境）费支出决算为</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万元，占0%；公务用车购置及运行费支出决算为 6万元，占100%；公务接待费支出决算为 0万元，占0%。</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b w:val="0"/>
          <w:bCs w:val="0"/>
          <w:spacing w:val="6"/>
          <w:sz w:val="32"/>
          <w:szCs w:val="32"/>
        </w:rPr>
      </w:pPr>
      <w:r>
        <w:rPr>
          <w:rFonts w:hint="eastAsia" w:ascii="仿宋" w:hAnsi="仿宋" w:eastAsia="仿宋" w:cs="仿宋"/>
          <w:b w:val="0"/>
          <w:bCs w:val="0"/>
          <w:sz w:val="32"/>
          <w:szCs w:val="32"/>
        </w:rPr>
        <w:t>公务用车运行支出6万元，主要是公务用车运行维护费。截至2022年12月31日，开支财政拨款的公务用车保有量为1辆,公务用车购置数为0辆。</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750"/>
        <w:textAlignment w:val="baseline"/>
        <w:outlineLvl w:val="3"/>
        <w:rPr>
          <w:rFonts w:hint="eastAsia" w:ascii="仿宋" w:hAnsi="仿宋" w:eastAsia="仿宋" w:cs="仿宋"/>
          <w:b w:val="0"/>
          <w:bCs w:val="0"/>
          <w:sz w:val="32"/>
          <w:szCs w:val="32"/>
        </w:rPr>
      </w:pPr>
      <w:r>
        <w:rPr>
          <w:rFonts w:hint="eastAsia" w:ascii="仿宋" w:hAnsi="仿宋" w:eastAsia="仿宋" w:cs="仿宋"/>
          <w:b w:val="0"/>
          <w:bCs w:val="0"/>
          <w:spacing w:val="6"/>
          <w:sz w:val="32"/>
          <w:szCs w:val="32"/>
        </w:rPr>
        <w:t>十、关于2023年度绩效评价情况说明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3" w:right="106" w:firstLine="638"/>
        <w:jc w:val="both"/>
        <w:textAlignment w:val="baseline"/>
        <w:rPr>
          <w:rFonts w:hint="eastAsia" w:ascii="仿宋" w:hAnsi="仿宋" w:eastAsia="仿宋" w:cs="仿宋"/>
          <w:b w:val="0"/>
          <w:bCs w:val="0"/>
          <w:sz w:val="32"/>
          <w:szCs w:val="32"/>
        </w:rPr>
      </w:pPr>
      <w:r>
        <w:rPr>
          <w:rFonts w:hint="eastAsia" w:ascii="仿宋" w:hAnsi="仿宋" w:eastAsia="仿宋" w:cs="仿宋"/>
          <w:b w:val="0"/>
          <w:bCs w:val="0"/>
          <w:spacing w:val="5"/>
          <w:sz w:val="32"/>
          <w:szCs w:val="32"/>
          <w:lang w:val="en-US" w:eastAsia="zh-CN"/>
        </w:rPr>
        <w:t xml:space="preserve">  </w:t>
      </w:r>
      <w:r>
        <w:rPr>
          <w:rFonts w:hint="eastAsia" w:ascii="仿宋" w:hAnsi="仿宋" w:eastAsia="仿宋" w:cs="仿宋"/>
          <w:b w:val="0"/>
          <w:bCs w:val="0"/>
          <w:spacing w:val="5"/>
          <w:sz w:val="32"/>
          <w:szCs w:val="32"/>
        </w:rPr>
        <w:t>（一）绩效评价工作开展情况。绩效评价工作开展情况</w:t>
      </w:r>
      <w:r>
        <w:rPr>
          <w:rFonts w:hint="eastAsia" w:ascii="仿宋" w:hAnsi="仿宋" w:eastAsia="仿宋" w:cs="仿宋"/>
          <w:b w:val="0"/>
          <w:bCs w:val="0"/>
          <w:spacing w:val="8"/>
          <w:sz w:val="32"/>
          <w:szCs w:val="32"/>
        </w:rPr>
        <w:t>说明为：根据预算绩效管理要求，本部门组织对2023年度</w:t>
      </w:r>
      <w:r>
        <w:rPr>
          <w:rFonts w:hint="eastAsia" w:ascii="仿宋" w:hAnsi="仿宋" w:eastAsia="仿宋" w:cs="仿宋"/>
          <w:b w:val="0"/>
          <w:bCs w:val="0"/>
          <w:spacing w:val="9"/>
          <w:sz w:val="32"/>
          <w:szCs w:val="32"/>
        </w:rPr>
        <w:t>一般公共预算项目支出全面开展绩效自评，其中，一级项目</w:t>
      </w:r>
      <w:r>
        <w:rPr>
          <w:rFonts w:hint="eastAsia" w:ascii="仿宋" w:hAnsi="仿宋" w:eastAsia="仿宋" w:cs="仿宋"/>
          <w:b w:val="0"/>
          <w:bCs w:val="0"/>
          <w:sz w:val="32"/>
          <w:szCs w:val="32"/>
          <w:lang w:val="en-US" w:eastAsia="zh-CN"/>
        </w:rPr>
        <w:t>3</w:t>
      </w:r>
      <w:r>
        <w:rPr>
          <w:rFonts w:hint="eastAsia" w:ascii="仿宋" w:hAnsi="仿宋" w:eastAsia="仿宋" w:cs="仿宋"/>
          <w:b w:val="0"/>
          <w:bCs w:val="0"/>
          <w:spacing w:val="1"/>
          <w:sz w:val="32"/>
          <w:szCs w:val="32"/>
        </w:rPr>
        <w:t>个，二级项目</w:t>
      </w:r>
      <w:r>
        <w:rPr>
          <w:rFonts w:hint="eastAsia" w:ascii="仿宋" w:hAnsi="仿宋" w:eastAsia="仿宋" w:cs="仿宋"/>
          <w:b w:val="0"/>
          <w:bCs w:val="0"/>
          <w:sz w:val="32"/>
          <w:szCs w:val="32"/>
          <w:lang w:val="en-US" w:eastAsia="zh-CN"/>
        </w:rPr>
        <w:t>61</w:t>
      </w:r>
      <w:r>
        <w:rPr>
          <w:rFonts w:hint="eastAsia" w:ascii="仿宋" w:hAnsi="仿宋" w:eastAsia="仿宋" w:cs="仿宋"/>
          <w:b w:val="0"/>
          <w:bCs w:val="0"/>
          <w:spacing w:val="1"/>
          <w:sz w:val="32"/>
          <w:szCs w:val="32"/>
        </w:rPr>
        <w:t>个，共涉及资金</w:t>
      </w:r>
      <w:r>
        <w:rPr>
          <w:rFonts w:hint="eastAsia" w:ascii="仿宋" w:hAnsi="仿宋" w:eastAsia="仿宋" w:cs="仿宋"/>
          <w:b w:val="0"/>
          <w:bCs w:val="0"/>
          <w:sz w:val="32"/>
          <w:szCs w:val="32"/>
          <w:lang w:val="en-US" w:eastAsia="zh-CN"/>
        </w:rPr>
        <w:t>4584.37</w:t>
      </w:r>
      <w:r>
        <w:rPr>
          <w:rFonts w:hint="eastAsia" w:ascii="仿宋" w:hAnsi="仿宋" w:eastAsia="仿宋" w:cs="仿宋"/>
          <w:b w:val="0"/>
          <w:bCs w:val="0"/>
          <w:spacing w:val="1"/>
          <w:sz w:val="32"/>
          <w:szCs w:val="32"/>
        </w:rPr>
        <w:t>万元，占一般公共</w:t>
      </w:r>
      <w:r>
        <w:rPr>
          <w:rFonts w:hint="eastAsia" w:ascii="仿宋" w:hAnsi="仿宋" w:eastAsia="仿宋" w:cs="仿宋"/>
          <w:b w:val="0"/>
          <w:bCs w:val="0"/>
          <w:spacing w:val="6"/>
          <w:sz w:val="32"/>
          <w:szCs w:val="32"/>
        </w:rPr>
        <w:t>预算项目支出总额的</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pacing w:val="6"/>
          <w:sz w:val="32"/>
          <w:szCs w:val="32"/>
        </w:rPr>
        <w:t>%。组织对2023年度</w:t>
      </w:r>
      <w:r>
        <w:rPr>
          <w:rFonts w:hint="eastAsia" w:ascii="仿宋" w:hAnsi="仿宋" w:eastAsia="仿宋" w:cs="仿宋"/>
          <w:b w:val="0"/>
          <w:bCs w:val="0"/>
          <w:spacing w:val="6"/>
          <w:sz w:val="32"/>
          <w:szCs w:val="32"/>
          <w:lang w:val="en-US" w:eastAsia="zh-CN"/>
        </w:rPr>
        <w:t>保寿镇农场防汛路项目</w:t>
      </w:r>
      <w:r>
        <w:rPr>
          <w:rFonts w:hint="eastAsia" w:ascii="仿宋" w:hAnsi="仿宋" w:eastAsia="仿宋" w:cs="仿宋"/>
          <w:b w:val="0"/>
          <w:bCs w:val="0"/>
          <w:spacing w:val="4"/>
          <w:sz w:val="32"/>
          <w:szCs w:val="32"/>
        </w:rPr>
        <w:t>开展绩效自评，共涉及资金</w:t>
      </w:r>
      <w:r>
        <w:rPr>
          <w:rFonts w:hint="eastAsia" w:ascii="仿宋" w:hAnsi="仿宋" w:eastAsia="仿宋" w:cs="仿宋"/>
          <w:b w:val="0"/>
          <w:bCs w:val="0"/>
          <w:sz w:val="32"/>
          <w:szCs w:val="32"/>
          <w:lang w:val="en-US" w:eastAsia="zh-CN"/>
        </w:rPr>
        <w:t>97.0452</w:t>
      </w:r>
      <w:r>
        <w:rPr>
          <w:rFonts w:hint="eastAsia" w:ascii="仿宋" w:hAnsi="仿宋" w:eastAsia="仿宋" w:cs="仿宋"/>
          <w:b w:val="0"/>
          <w:bCs w:val="0"/>
          <w:spacing w:val="4"/>
          <w:sz w:val="32"/>
          <w:szCs w:val="32"/>
        </w:rPr>
        <w:t>万元</w:t>
      </w:r>
      <w:r>
        <w:rPr>
          <w:rFonts w:hint="eastAsia" w:ascii="仿宋" w:hAnsi="仿宋" w:eastAsia="仿宋" w:cs="仿宋"/>
          <w:b w:val="0"/>
          <w:bCs w:val="0"/>
          <w:spacing w:val="4"/>
          <w:sz w:val="32"/>
          <w:szCs w:val="32"/>
          <w:lang w:eastAsia="zh-CN"/>
        </w:rPr>
        <w:t>，</w:t>
      </w:r>
      <w:r>
        <w:rPr>
          <w:rFonts w:hint="eastAsia" w:ascii="仿宋" w:hAnsi="仿宋" w:eastAsia="仿宋"/>
          <w:sz w:val="32"/>
          <w:szCs w:val="32"/>
        </w:rPr>
        <w:t>绩效自评率为</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w:t>
      </w:r>
    </w:p>
    <w:p>
      <w:pPr>
        <w:spacing w:line="580" w:lineRule="exact"/>
        <w:ind w:firstLine="624" w:firstLineChars="200"/>
        <w:rPr>
          <w:rFonts w:hint="eastAsia" w:ascii="仿宋" w:hAnsi="仿宋" w:eastAsia="仿宋" w:cs="仿宋"/>
          <w:b w:val="0"/>
          <w:bCs w:val="0"/>
          <w:spacing w:val="-4"/>
          <w:sz w:val="32"/>
          <w:szCs w:val="32"/>
        </w:rPr>
      </w:pPr>
    </w:p>
    <w:p>
      <w:pPr>
        <w:spacing w:line="580" w:lineRule="exact"/>
        <w:ind w:firstLine="624" w:firstLineChars="200"/>
        <w:rPr>
          <w:rFonts w:hint="eastAsia" w:ascii="仿宋" w:hAnsi="仿宋" w:eastAsia="仿宋" w:cs="仿宋"/>
          <w:b w:val="0"/>
          <w:bCs w:val="0"/>
          <w:spacing w:val="-4"/>
          <w:sz w:val="32"/>
          <w:szCs w:val="32"/>
        </w:rPr>
      </w:pPr>
      <w:r>
        <w:rPr>
          <w:rFonts w:hint="eastAsia" w:ascii="仿宋" w:hAnsi="仿宋" w:eastAsia="仿宋" w:cs="仿宋"/>
          <w:b w:val="0"/>
          <w:bCs w:val="0"/>
          <w:spacing w:val="-4"/>
          <w:sz w:val="32"/>
          <w:szCs w:val="32"/>
        </w:rPr>
        <w:t>（二）项目绩效自评结果（如有）</w:t>
      </w:r>
    </w:p>
    <w:p>
      <w:pPr>
        <w:spacing w:line="580" w:lineRule="exact"/>
        <w:ind w:firstLine="640" w:firstLineChars="200"/>
        <w:rPr>
          <w:rFonts w:hint="eastAsia" w:ascii="仿宋" w:hAnsi="仿宋" w:eastAsia="仿宋" w:cs="仿宋"/>
          <w:b w:val="0"/>
          <w:bCs w:val="0"/>
          <w:sz w:val="32"/>
          <w:szCs w:val="32"/>
        </w:rPr>
      </w:pPr>
      <w:r>
        <w:rPr>
          <w:rFonts w:ascii="仿宋" w:hAnsi="仿宋" w:eastAsia="仿宋"/>
          <w:sz w:val="32"/>
          <w:szCs w:val="32"/>
        </w:rPr>
        <w:t>我部门（单位）绩效</w:t>
      </w:r>
      <w:r>
        <w:rPr>
          <w:rFonts w:hint="eastAsia" w:ascii="仿宋" w:hAnsi="仿宋" w:eastAsia="仿宋"/>
          <w:sz w:val="32"/>
          <w:szCs w:val="32"/>
        </w:rPr>
        <w:t>评价</w:t>
      </w:r>
      <w:r>
        <w:rPr>
          <w:rFonts w:ascii="仿宋" w:hAnsi="仿宋" w:eastAsia="仿宋"/>
          <w:sz w:val="32"/>
          <w:szCs w:val="32"/>
        </w:rPr>
        <w:t>结果</w:t>
      </w:r>
      <w:r>
        <w:rPr>
          <w:rFonts w:hint="eastAsia" w:ascii="仿宋" w:hAnsi="仿宋" w:eastAsia="仿宋"/>
          <w:sz w:val="32"/>
          <w:szCs w:val="32"/>
        </w:rPr>
        <w:t>应用情况</w:t>
      </w:r>
      <w:r>
        <w:rPr>
          <w:rFonts w:ascii="仿宋" w:hAnsi="仿宋" w:eastAsia="仿宋"/>
          <w:sz w:val="32"/>
          <w:szCs w:val="32"/>
        </w:rPr>
        <w:t>如下：</w:t>
      </w:r>
      <w:r>
        <w:rPr>
          <w:rFonts w:hint="eastAsia" w:ascii="仿宋" w:hAnsi="仿宋" w:eastAsia="仿宋"/>
          <w:sz w:val="32"/>
          <w:szCs w:val="32"/>
        </w:rPr>
        <w:t>部门预算项目单位自评、部门评价、转移支付绩效自评等评价结果应用情况，如项目管理、政策调整、资金分配及结果公开等方面内容。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firstLine="625"/>
        <w:textAlignment w:val="baseline"/>
        <w:rPr>
          <w:rFonts w:hint="eastAsia" w:ascii="仿宋" w:hAnsi="仿宋" w:eastAsia="仿宋" w:cs="仿宋"/>
          <w:b w:val="0"/>
          <w:bCs w:val="0"/>
          <w:sz w:val="32"/>
          <w:szCs w:val="32"/>
        </w:rPr>
      </w:pPr>
      <w:r>
        <w:rPr>
          <w:rFonts w:hint="eastAsia" w:ascii="仿宋" w:hAnsi="仿宋" w:eastAsia="仿宋" w:cs="仿宋"/>
          <w:b w:val="0"/>
          <w:bCs w:val="0"/>
          <w:spacing w:val="6"/>
          <w:sz w:val="32"/>
          <w:szCs w:val="32"/>
        </w:rPr>
        <w:t>十一、其他重要事项情况说明</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659"/>
        <w:textAlignment w:val="baseline"/>
        <w:rPr>
          <w:rFonts w:hint="eastAsia" w:ascii="仿宋" w:hAnsi="仿宋" w:eastAsia="仿宋" w:cs="仿宋"/>
          <w:b w:val="0"/>
          <w:bCs w:val="0"/>
          <w:sz w:val="32"/>
          <w:szCs w:val="32"/>
        </w:rPr>
      </w:pPr>
      <w:r>
        <w:rPr>
          <w:rFonts w:hint="eastAsia" w:ascii="仿宋" w:hAnsi="仿宋" w:eastAsia="仿宋" w:cs="仿宋"/>
          <w:b w:val="0"/>
          <w:bCs w:val="0"/>
          <w:spacing w:val="4"/>
          <w:sz w:val="32"/>
          <w:szCs w:val="32"/>
        </w:rPr>
        <w:t>（一）机关运行经费执行情况说明</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rPr>
        <w:t>2023年度机关运行经费支出160</w:t>
      </w:r>
      <w:r>
        <w:rPr>
          <w:rFonts w:hint="eastAsia" w:ascii="仿宋" w:hAnsi="仿宋" w:eastAsia="仿宋"/>
          <w:sz w:val="32"/>
          <w:szCs w:val="32"/>
          <w:lang w:val="en-US" w:eastAsia="zh-CN"/>
        </w:rPr>
        <w:t>.</w:t>
      </w:r>
      <w:r>
        <w:rPr>
          <w:rFonts w:hint="eastAsia" w:ascii="仿宋" w:hAnsi="仿宋" w:eastAsia="仿宋"/>
          <w:sz w:val="32"/>
          <w:szCs w:val="32"/>
        </w:rPr>
        <w:t>56万元，比年初预算数增加（减少）0万元，增长（降低）0%，主要是政府经费支出。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firstLine="625"/>
        <w:textAlignment w:val="baseline"/>
        <w:rPr>
          <w:rFonts w:hint="eastAsia" w:ascii="仿宋" w:hAnsi="仿宋" w:eastAsia="仿宋" w:cs="仿宋"/>
          <w:b w:val="0"/>
          <w:bCs w:val="0"/>
          <w:spacing w:val="6"/>
          <w:sz w:val="32"/>
          <w:szCs w:val="32"/>
        </w:rPr>
      </w:pPr>
      <w:r>
        <w:rPr>
          <w:rFonts w:hint="eastAsia" w:ascii="仿宋" w:hAnsi="仿宋" w:eastAsia="仿宋" w:cs="仿宋"/>
          <w:b w:val="0"/>
          <w:bCs w:val="0"/>
          <w:spacing w:val="6"/>
          <w:sz w:val="32"/>
          <w:szCs w:val="32"/>
        </w:rPr>
        <w:t>（二）政府采购支出情况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firstLine="625"/>
        <w:textAlignment w:val="baseline"/>
        <w:rPr>
          <w:rFonts w:hint="eastAsia" w:ascii="仿宋" w:hAnsi="仿宋" w:eastAsia="仿宋" w:cs="仿宋"/>
          <w:b w:val="0"/>
          <w:bCs w:val="0"/>
          <w:spacing w:val="6"/>
          <w:sz w:val="32"/>
          <w:szCs w:val="32"/>
        </w:rPr>
      </w:pPr>
      <w:r>
        <w:rPr>
          <w:rFonts w:hint="eastAsia" w:ascii="仿宋" w:hAnsi="仿宋" w:eastAsia="仿宋" w:cs="仿宋"/>
          <w:b w:val="0"/>
          <w:bCs w:val="0"/>
          <w:spacing w:val="6"/>
          <w:sz w:val="32"/>
          <w:szCs w:val="32"/>
        </w:rPr>
        <w:t>202</w:t>
      </w:r>
      <w:r>
        <w:rPr>
          <w:rFonts w:hint="eastAsia" w:ascii="仿宋" w:hAnsi="仿宋" w:eastAsia="仿宋" w:cs="仿宋"/>
          <w:b w:val="0"/>
          <w:bCs w:val="0"/>
          <w:spacing w:val="6"/>
          <w:sz w:val="32"/>
          <w:szCs w:val="32"/>
          <w:lang w:val="en-US" w:eastAsia="zh-CN"/>
        </w:rPr>
        <w:t>3</w:t>
      </w:r>
      <w:r>
        <w:rPr>
          <w:rFonts w:hint="eastAsia" w:ascii="仿宋" w:hAnsi="仿宋" w:eastAsia="仿宋" w:cs="仿宋"/>
          <w:b w:val="0"/>
          <w:bCs w:val="0"/>
          <w:spacing w:val="6"/>
          <w:sz w:val="32"/>
          <w:szCs w:val="32"/>
        </w:rPr>
        <w:t>年度，政府采购支出总额</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万元，其中：政府采购货物支出</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万元、政府采购工程支出</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万元、政府采购服务支出</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万元。授予中小企业合同金额</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万元，占政府采购支出总额的</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%，其中：授予小微企业合同金额</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万元，占授予中小企业合同金额的</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%；货物采购授予中小企业合同金额占货物支出金额的</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%，工程采购授予中小企业合同金额占工程支出金额的</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%，服务采购授予中小企业合同金额占服务支出金额的</w:t>
      </w:r>
      <w:r>
        <w:rPr>
          <w:rFonts w:hint="eastAsia" w:ascii="仿宋" w:hAnsi="仿宋" w:eastAsia="仿宋" w:cs="仿宋"/>
          <w:b w:val="0"/>
          <w:bCs w:val="0"/>
          <w:spacing w:val="6"/>
          <w:sz w:val="32"/>
          <w:szCs w:val="32"/>
          <w:lang w:val="en-US" w:eastAsia="zh-CN"/>
        </w:rPr>
        <w:t>***</w:t>
      </w:r>
      <w:r>
        <w:rPr>
          <w:rFonts w:hint="eastAsia" w:ascii="仿宋" w:hAnsi="仿宋" w:eastAsia="仿宋" w:cs="仿宋"/>
          <w:b w:val="0"/>
          <w:bCs w:val="0"/>
          <w:spacing w:val="6"/>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4" w:firstLine="625"/>
        <w:textAlignment w:val="baseline"/>
        <w:rPr>
          <w:rFonts w:hint="eastAsia" w:ascii="仿宋" w:hAnsi="仿宋" w:eastAsia="仿宋" w:cs="仿宋"/>
          <w:b w:val="0"/>
          <w:bCs w:val="0"/>
          <w:spacing w:val="6"/>
          <w:sz w:val="32"/>
          <w:szCs w:val="32"/>
        </w:rPr>
      </w:pPr>
      <w:r>
        <w:rPr>
          <w:rFonts w:hint="eastAsia" w:ascii="仿宋" w:hAnsi="仿宋" w:eastAsia="仿宋" w:cs="仿宋"/>
          <w:b w:val="0"/>
          <w:bCs w:val="0"/>
          <w:spacing w:val="6"/>
          <w:sz w:val="32"/>
          <w:szCs w:val="32"/>
        </w:rPr>
        <w:t>（三）国有资产占用情况说明</w:t>
      </w:r>
    </w:p>
    <w:p>
      <w:pPr>
        <w:spacing w:line="580" w:lineRule="exact"/>
        <w:ind w:firstLine="602"/>
        <w:rPr>
          <w:rFonts w:ascii="仿宋" w:hAnsi="仿宋" w:eastAsia="仿宋" w:cs="仿宋_GB2312"/>
          <w:kern w:val="0"/>
          <w:sz w:val="32"/>
          <w:szCs w:val="32"/>
        </w:rPr>
      </w:pPr>
      <w:r>
        <w:rPr>
          <w:rFonts w:hint="eastAsia" w:ascii="仿宋" w:hAnsi="仿宋" w:eastAsia="仿宋"/>
          <w:sz w:val="32"/>
        </w:rPr>
        <w:t>截至202</w:t>
      </w:r>
      <w:r>
        <w:rPr>
          <w:rFonts w:hint="eastAsia" w:ascii="仿宋" w:hAnsi="仿宋" w:eastAsia="仿宋"/>
          <w:sz w:val="32"/>
          <w:lang w:val="en-US" w:eastAsia="zh-CN"/>
        </w:rPr>
        <w:t>3</w:t>
      </w:r>
      <w:r>
        <w:rPr>
          <w:rFonts w:hint="eastAsia" w:ascii="仿宋" w:hAnsi="仿宋" w:eastAsia="仿宋"/>
          <w:sz w:val="32"/>
        </w:rPr>
        <w:t>年12月31日，</w:t>
      </w:r>
      <w:r>
        <w:rPr>
          <w:rFonts w:hint="eastAsia" w:ascii="仿宋" w:hAnsi="仿宋" w:eastAsia="仿宋"/>
          <w:sz w:val="32"/>
          <w:lang w:val="en-US" w:eastAsia="zh-CN"/>
        </w:rPr>
        <w:t>保寿镇</w:t>
      </w:r>
      <w:r>
        <w:rPr>
          <w:rFonts w:hint="eastAsia" w:ascii="仿宋" w:hAnsi="仿宋" w:eastAsia="仿宋"/>
          <w:sz w:val="32"/>
          <w:szCs w:val="30"/>
          <w:lang w:val="en-US" w:eastAsia="zh-CN"/>
        </w:rPr>
        <w:t>政府</w:t>
      </w:r>
      <w:r>
        <w:rPr>
          <w:rFonts w:hint="eastAsia" w:ascii="仿宋" w:hAnsi="仿宋" w:eastAsia="仿宋"/>
          <w:sz w:val="32"/>
        </w:rPr>
        <w:t>共有车辆</w:t>
      </w:r>
      <w:r>
        <w:rPr>
          <w:rFonts w:hint="eastAsia" w:ascii="仿宋" w:hAnsi="仿宋" w:eastAsia="仿宋"/>
          <w:sz w:val="32"/>
          <w:szCs w:val="30"/>
          <w:lang w:val="en-US" w:eastAsia="zh-CN"/>
        </w:rPr>
        <w:t>1</w:t>
      </w:r>
      <w:r>
        <w:rPr>
          <w:rFonts w:hint="eastAsia" w:ascii="仿宋" w:hAnsi="仿宋" w:eastAsia="仿宋"/>
          <w:sz w:val="32"/>
        </w:rPr>
        <w:t>辆，</w:t>
      </w:r>
      <w:r>
        <w:rPr>
          <w:rFonts w:hint="eastAsia" w:ascii="仿宋" w:hAnsi="仿宋" w:eastAsia="仿宋"/>
          <w:sz w:val="32"/>
          <w:szCs w:val="30"/>
        </w:rPr>
        <w:t>其中，</w:t>
      </w:r>
      <w:r>
        <w:rPr>
          <w:rFonts w:hint="eastAsia" w:ascii="仿宋" w:hAnsi="仿宋" w:eastAsia="仿宋" w:cs="仿宋_GB2312"/>
          <w:kern w:val="0"/>
          <w:sz w:val="32"/>
          <w:szCs w:val="32"/>
        </w:rPr>
        <w:t>副部（省）级及以上领导用车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辆、主要领导干部用车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辆、机要通信用车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w:t>
      </w:r>
      <w:bookmarkStart w:id="1" w:name="_GoBack"/>
      <w:bookmarkEnd w:id="1"/>
      <w:r>
        <w:rPr>
          <w:rFonts w:hint="eastAsia" w:ascii="仿宋" w:hAnsi="仿宋" w:eastAsia="仿宋" w:cs="仿宋_GB2312"/>
          <w:kern w:val="0"/>
          <w:sz w:val="32"/>
          <w:szCs w:val="32"/>
        </w:rPr>
        <w:t>、应急保障用车</w:t>
      </w:r>
      <w:r>
        <w:rPr>
          <w:rFonts w:hint="eastAsia" w:ascii="仿宋" w:hAnsi="仿宋" w:eastAsia="仿宋"/>
          <w:sz w:val="32"/>
          <w:szCs w:val="30"/>
          <w:lang w:val="en-US" w:eastAsia="zh-CN"/>
        </w:rPr>
        <w:t>1</w:t>
      </w:r>
      <w:r>
        <w:rPr>
          <w:rFonts w:hint="eastAsia" w:ascii="仿宋" w:hAnsi="仿宋" w:eastAsia="仿宋" w:cs="仿宋_GB2312"/>
          <w:kern w:val="0"/>
          <w:sz w:val="32"/>
          <w:szCs w:val="32"/>
        </w:rPr>
        <w:t>辆、执法执勤用车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辆、特种专业技术用车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辆、离退休干部用车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辆、其他用车</w:t>
      </w:r>
      <w:r>
        <w:rPr>
          <w:rFonts w:hint="eastAsia" w:ascii="仿宋" w:hAnsi="仿宋" w:eastAsia="仿宋"/>
          <w:sz w:val="32"/>
          <w:szCs w:val="30"/>
          <w:lang w:val="en-US" w:eastAsia="zh-CN"/>
        </w:rPr>
        <w:t>0</w:t>
      </w:r>
      <w:r>
        <w:rPr>
          <w:rFonts w:hint="eastAsia" w:ascii="仿宋" w:hAnsi="仿宋" w:eastAsia="仿宋" w:cs="仿宋_GB2312"/>
          <w:kern w:val="0"/>
          <w:sz w:val="32"/>
          <w:szCs w:val="32"/>
        </w:rPr>
        <w:t>辆，单位价值</w:t>
      </w:r>
      <w:r>
        <w:rPr>
          <w:rFonts w:ascii="仿宋" w:hAnsi="仿宋" w:eastAsia="仿宋" w:cs="仿宋_GB2312"/>
          <w:kern w:val="0"/>
          <w:sz w:val="32"/>
          <w:szCs w:val="32"/>
        </w:rPr>
        <w:t>100</w:t>
      </w:r>
      <w:r>
        <w:rPr>
          <w:rFonts w:hint="eastAsia" w:ascii="仿宋" w:hAnsi="仿宋" w:eastAsia="仿宋" w:cs="仿宋_GB2312"/>
          <w:kern w:val="0"/>
          <w:sz w:val="32"/>
          <w:szCs w:val="32"/>
        </w:rPr>
        <w:t>万元以上专用设备</w:t>
      </w:r>
      <w:r>
        <w:rPr>
          <w:rFonts w:hint="eastAsia" w:ascii="仿宋" w:hAnsi="仿宋" w:eastAsia="仿宋"/>
          <w:sz w:val="32"/>
          <w:szCs w:val="30"/>
          <w:lang w:val="en-US" w:eastAsia="zh-CN"/>
        </w:rPr>
        <w:t>0</w:t>
      </w:r>
      <w:r>
        <w:rPr>
          <w:rFonts w:hint="eastAsia" w:ascii="仿宋" w:hAnsi="仿宋" w:eastAsia="仿宋" w:cs="仿宋_GB2312"/>
          <w:kern w:val="0"/>
          <w:sz w:val="32"/>
          <w:szCs w:val="32"/>
        </w:rPr>
        <w:t>台（套）。</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31"/>
          <w:szCs w:val="31"/>
        </w:rPr>
        <w:sectPr>
          <w:footerReference r:id="rId15" w:type="default"/>
          <w:pgSz w:w="11907" w:h="16839"/>
          <w:pgMar w:top="1431" w:right="1774" w:bottom="1153" w:left="1785" w:header="0" w:footer="965" w:gutter="0"/>
        </w:sectPr>
      </w:pPr>
    </w:p>
    <w:p>
      <w:pPr>
        <w:spacing w:before="225" w:line="443" w:lineRule="exact"/>
        <w:ind w:left="2186"/>
        <w:outlineLvl w:val="0"/>
        <w:rPr>
          <w:rFonts w:hint="default" w:ascii="Times New Roman" w:hAnsi="Times New Roman" w:eastAsia="仿宋_GB2312" w:cs="Times New Roman"/>
          <w:sz w:val="44"/>
          <w:szCs w:val="44"/>
        </w:rPr>
      </w:pPr>
      <w:r>
        <w:rPr>
          <w:rFonts w:hint="default" w:ascii="Times New Roman" w:hAnsi="Times New Roman" w:eastAsia="仿宋_GB2312" w:cs="Times New Roman"/>
          <w:spacing w:val="-4"/>
          <w:position w:val="-2"/>
          <w:sz w:val="44"/>
          <w:szCs w:val="44"/>
        </w:rPr>
        <w:t>第四部分名词解释</w:t>
      </w:r>
    </w:p>
    <w:p>
      <w:pPr>
        <w:pStyle w:val="2"/>
        <w:spacing w:line="315" w:lineRule="auto"/>
        <w:rPr>
          <w:rFonts w:hint="default" w:ascii="Times New Roman" w:hAnsi="Times New Roman" w:eastAsia="仿宋_GB2312" w:cs="Times New Roman"/>
        </w:rPr>
      </w:pPr>
    </w:p>
    <w:p>
      <w:pPr>
        <w:pStyle w:val="2"/>
        <w:spacing w:line="315" w:lineRule="auto"/>
        <w:rPr>
          <w:rFonts w:hint="default" w:ascii="Times New Roman" w:hAnsi="Times New Roman" w:eastAsia="仿宋_GB2312" w:cs="Times New Roman"/>
        </w:rPr>
      </w:pPr>
    </w:p>
    <w:p>
      <w:pPr>
        <w:pStyle w:val="2"/>
        <w:spacing w:line="315" w:lineRule="auto"/>
        <w:rPr>
          <w:rFonts w:hint="default" w:ascii="Times New Roman" w:hAnsi="Times New Roman" w:eastAsia="仿宋_GB2312" w:cs="Times New Roman"/>
        </w:rPr>
      </w:pPr>
    </w:p>
    <w:p>
      <w:pPr>
        <w:spacing w:before="100" w:line="297" w:lineRule="auto"/>
        <w:ind w:left="39" w:right="13"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一、财政拨款收入：</w:t>
      </w:r>
      <w:r>
        <w:rPr>
          <w:rFonts w:hint="default" w:ascii="Times New Roman" w:hAnsi="Times New Roman" w:eastAsia="仿宋_GB2312" w:cs="Times New Roman"/>
          <w:spacing w:val="6"/>
          <w:sz w:val="31"/>
          <w:szCs w:val="31"/>
        </w:rPr>
        <w:t>指单位从同级财政部门取得的财政</w:t>
      </w:r>
      <w:r>
        <w:rPr>
          <w:rFonts w:hint="default" w:ascii="Times New Roman" w:hAnsi="Times New Roman" w:eastAsia="仿宋_GB2312" w:cs="Times New Roman"/>
          <w:spacing w:val="2"/>
          <w:sz w:val="31"/>
          <w:szCs w:val="31"/>
        </w:rPr>
        <w:t>预算资金。</w:t>
      </w:r>
    </w:p>
    <w:p>
      <w:pPr>
        <w:spacing w:before="250" w:line="297" w:lineRule="auto"/>
        <w:ind w:left="30" w:right="1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二、上级补助收入：</w:t>
      </w:r>
      <w:r>
        <w:rPr>
          <w:rFonts w:hint="default" w:ascii="Times New Roman" w:hAnsi="Times New Roman" w:eastAsia="仿宋_GB2312" w:cs="Times New Roman"/>
          <w:spacing w:val="6"/>
          <w:sz w:val="31"/>
          <w:szCs w:val="31"/>
        </w:rPr>
        <w:t>指从主管部门和上级单位取得的非</w:t>
      </w:r>
      <w:r>
        <w:rPr>
          <w:rFonts w:hint="default" w:ascii="Times New Roman" w:hAnsi="Times New Roman" w:eastAsia="仿宋_GB2312" w:cs="Times New Roman"/>
          <w:spacing w:val="-1"/>
          <w:sz w:val="31"/>
          <w:szCs w:val="31"/>
        </w:rPr>
        <w:t>财政补助收入。</w:t>
      </w:r>
    </w:p>
    <w:p>
      <w:pPr>
        <w:spacing w:before="249" w:line="298" w:lineRule="auto"/>
        <w:ind w:left="44" w:right="18" w:firstLine="649"/>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三、事业收入：指事业单位开展专业业务活动及辅助活</w:t>
      </w:r>
      <w:r>
        <w:rPr>
          <w:rFonts w:hint="default" w:ascii="Times New Roman" w:hAnsi="Times New Roman" w:eastAsia="仿宋_GB2312" w:cs="Times New Roman"/>
          <w:b/>
          <w:bCs/>
          <w:spacing w:val="-6"/>
          <w:sz w:val="31"/>
          <w:szCs w:val="31"/>
        </w:rPr>
        <w:t>动取得的收入。</w:t>
      </w:r>
    </w:p>
    <w:p>
      <w:pPr>
        <w:spacing w:before="249" w:line="297" w:lineRule="auto"/>
        <w:ind w:left="44" w:right="16" w:firstLine="66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四、经营收入：</w:t>
      </w:r>
      <w:r>
        <w:rPr>
          <w:rFonts w:hint="default" w:ascii="Times New Roman" w:hAnsi="Times New Roman" w:eastAsia="仿宋_GB2312" w:cs="Times New Roman"/>
          <w:spacing w:val="6"/>
          <w:sz w:val="31"/>
          <w:szCs w:val="31"/>
        </w:rPr>
        <w:t>指事业单位在专业业务活动及其辅助活动之外开展非独立核算经营活动取得的收入。</w:t>
      </w:r>
    </w:p>
    <w:p>
      <w:pPr>
        <w:spacing w:before="249" w:line="298" w:lineRule="auto"/>
        <w:ind w:left="28" w:right="1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五、附属单位上缴收入：</w:t>
      </w:r>
      <w:r>
        <w:rPr>
          <w:rFonts w:hint="default" w:ascii="Times New Roman" w:hAnsi="Times New Roman" w:eastAsia="仿宋_GB2312" w:cs="Times New Roman"/>
          <w:spacing w:val="6"/>
          <w:sz w:val="31"/>
          <w:szCs w:val="31"/>
        </w:rPr>
        <w:t>指事业单位附属独立核算单位</w:t>
      </w:r>
      <w:r>
        <w:rPr>
          <w:rFonts w:hint="default" w:ascii="Times New Roman" w:hAnsi="Times New Roman" w:eastAsia="仿宋_GB2312" w:cs="Times New Roman"/>
          <w:spacing w:val="7"/>
          <w:sz w:val="31"/>
          <w:szCs w:val="31"/>
        </w:rPr>
        <w:t>按照有关规定上缴的收入。</w:t>
      </w:r>
    </w:p>
    <w:p>
      <w:pPr>
        <w:spacing w:before="246" w:line="347" w:lineRule="auto"/>
        <w:ind w:left="29" w:right="14"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六、其他收入：</w:t>
      </w:r>
      <w:r>
        <w:rPr>
          <w:rFonts w:hint="default" w:ascii="Times New Roman" w:hAnsi="Times New Roman" w:eastAsia="仿宋_GB2312" w:cs="Times New Roman"/>
          <w:spacing w:val="7"/>
          <w:sz w:val="31"/>
          <w:szCs w:val="31"/>
        </w:rPr>
        <w:t>指除上述收入以外的各项收入。包括未</w:t>
      </w:r>
      <w:r>
        <w:rPr>
          <w:rFonts w:hint="default" w:ascii="Times New Roman" w:hAnsi="Times New Roman" w:eastAsia="仿宋_GB2312" w:cs="Times New Roman"/>
          <w:spacing w:val="9"/>
          <w:sz w:val="31"/>
          <w:szCs w:val="31"/>
        </w:rPr>
        <w:t>纳入财政预算或财政专户管理的投资收益、银</w:t>
      </w:r>
      <w:r>
        <w:rPr>
          <w:rFonts w:hint="default" w:ascii="Times New Roman" w:hAnsi="Times New Roman" w:eastAsia="仿宋_GB2312" w:cs="Times New Roman"/>
          <w:spacing w:val="8"/>
          <w:sz w:val="31"/>
          <w:szCs w:val="31"/>
        </w:rPr>
        <w:t>行存款利息收</w:t>
      </w:r>
      <w:r>
        <w:rPr>
          <w:rFonts w:hint="default" w:ascii="Times New Roman" w:hAnsi="Times New Roman" w:eastAsia="仿宋_GB2312" w:cs="Times New Roman"/>
          <w:spacing w:val="9"/>
          <w:sz w:val="31"/>
          <w:szCs w:val="31"/>
        </w:rPr>
        <w:t>入、租金收入、捐赠收入，现金盘盈收入、存货</w:t>
      </w:r>
      <w:r>
        <w:rPr>
          <w:rFonts w:hint="default" w:ascii="Times New Roman" w:hAnsi="Times New Roman" w:eastAsia="仿宋_GB2312" w:cs="Times New Roman"/>
          <w:spacing w:val="8"/>
          <w:sz w:val="31"/>
          <w:szCs w:val="31"/>
        </w:rPr>
        <w:t>盘盈收入、</w:t>
      </w:r>
      <w:r>
        <w:rPr>
          <w:rFonts w:hint="default" w:ascii="Times New Roman" w:hAnsi="Times New Roman" w:eastAsia="仿宋_GB2312" w:cs="Times New Roman"/>
          <w:spacing w:val="9"/>
          <w:sz w:val="31"/>
          <w:szCs w:val="31"/>
        </w:rPr>
        <w:t>收回已核销应收及预付款项、无法偿付的应付及</w:t>
      </w:r>
      <w:r>
        <w:rPr>
          <w:rFonts w:hint="default" w:ascii="Times New Roman" w:hAnsi="Times New Roman" w:eastAsia="仿宋_GB2312" w:cs="Times New Roman"/>
          <w:spacing w:val="8"/>
          <w:sz w:val="31"/>
          <w:szCs w:val="31"/>
        </w:rPr>
        <w:t>预收款项，</w:t>
      </w:r>
      <w:r>
        <w:rPr>
          <w:rFonts w:hint="default" w:ascii="Times New Roman" w:hAnsi="Times New Roman" w:eastAsia="仿宋_GB2312" w:cs="Times New Roman"/>
          <w:spacing w:val="9"/>
          <w:sz w:val="31"/>
          <w:szCs w:val="31"/>
        </w:rPr>
        <w:t>从省财政以外的同级单位取得的经费、从非省</w:t>
      </w:r>
      <w:r>
        <w:rPr>
          <w:rFonts w:hint="default" w:ascii="Times New Roman" w:hAnsi="Times New Roman" w:eastAsia="仿宋_GB2312" w:cs="Times New Roman"/>
          <w:spacing w:val="8"/>
          <w:sz w:val="31"/>
          <w:szCs w:val="31"/>
        </w:rPr>
        <w:t>财政取得的经</w:t>
      </w:r>
      <w:r>
        <w:rPr>
          <w:rFonts w:hint="default" w:ascii="Times New Roman" w:hAnsi="Times New Roman" w:eastAsia="仿宋_GB2312" w:cs="Times New Roman"/>
          <w:spacing w:val="6"/>
          <w:sz w:val="31"/>
          <w:szCs w:val="31"/>
        </w:rPr>
        <w:t>费，以及行政单位收到的财政专户管理资金等。</w:t>
      </w:r>
    </w:p>
    <w:p>
      <w:pPr>
        <w:spacing w:before="252" w:line="322" w:lineRule="auto"/>
        <w:ind w:left="28" w:right="10" w:firstLine="64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5"/>
          <w:sz w:val="31"/>
          <w:szCs w:val="31"/>
        </w:rPr>
        <w:t>七、使用非财政拨款结余（含专用结余</w:t>
      </w:r>
      <w:r>
        <w:rPr>
          <w:rFonts w:hint="default" w:ascii="Times New Roman" w:hAnsi="Times New Roman" w:eastAsia="仿宋_GB2312" w:cs="Times New Roman"/>
          <w:b/>
          <w:bCs/>
          <w:spacing w:val="16"/>
          <w:sz w:val="31"/>
          <w:szCs w:val="31"/>
        </w:rPr>
        <w:t>）：</w:t>
      </w:r>
      <w:r>
        <w:rPr>
          <w:rFonts w:hint="default" w:ascii="Times New Roman" w:hAnsi="Times New Roman" w:eastAsia="仿宋_GB2312" w:cs="Times New Roman"/>
          <w:spacing w:val="5"/>
          <w:sz w:val="31"/>
          <w:szCs w:val="31"/>
        </w:rPr>
        <w:t>指事业单位</w:t>
      </w:r>
      <w:r>
        <w:rPr>
          <w:rFonts w:hint="default" w:ascii="Times New Roman" w:hAnsi="Times New Roman" w:eastAsia="仿宋_GB2312" w:cs="Times New Roman"/>
          <w:spacing w:val="21"/>
          <w:sz w:val="31"/>
          <w:szCs w:val="31"/>
        </w:rPr>
        <w:t>按照预算管理要求使用非财政拨款结余弥补收支差额的金</w:t>
      </w:r>
      <w:r>
        <w:rPr>
          <w:rFonts w:hint="default" w:ascii="Times New Roman" w:hAnsi="Times New Roman" w:eastAsia="仿宋_GB2312" w:cs="Times New Roman"/>
          <w:spacing w:val="5"/>
          <w:sz w:val="31"/>
          <w:szCs w:val="31"/>
        </w:rPr>
        <w:t>额，以及使用专用结余安排支出的金额。</w:t>
      </w:r>
    </w:p>
    <w:p>
      <w:pPr>
        <w:spacing w:before="249" w:line="220" w:lineRule="auto"/>
        <w:ind w:right="13"/>
        <w:jc w:val="right"/>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八、年初结转和结余：</w:t>
      </w:r>
      <w:r>
        <w:rPr>
          <w:rFonts w:hint="default" w:ascii="Times New Roman" w:hAnsi="Times New Roman" w:eastAsia="仿宋_GB2312" w:cs="Times New Roman"/>
          <w:spacing w:val="7"/>
          <w:sz w:val="31"/>
          <w:szCs w:val="31"/>
        </w:rPr>
        <w:t>指单位以前年度尚未完成、结转</w:t>
      </w:r>
    </w:p>
    <w:p>
      <w:pPr>
        <w:spacing w:line="220" w:lineRule="auto"/>
        <w:rPr>
          <w:rFonts w:hint="default" w:ascii="Times New Roman" w:hAnsi="Times New Roman" w:eastAsia="仿宋_GB2312" w:cs="Times New Roman"/>
          <w:sz w:val="31"/>
          <w:szCs w:val="31"/>
        </w:rPr>
        <w:sectPr>
          <w:footerReference r:id="rId16" w:type="default"/>
          <w:pgSz w:w="11907" w:h="16839"/>
          <w:pgMar w:top="1431" w:right="1785" w:bottom="1153" w:left="1785" w:header="0" w:footer="965" w:gutter="0"/>
        </w:sectPr>
      </w:pPr>
    </w:p>
    <w:p>
      <w:pPr>
        <w:spacing w:before="160" w:line="357" w:lineRule="auto"/>
        <w:ind w:left="46" w:right="189" w:hanging="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到本年按有关规定用途继续使用的资金，或项目已完成等产</w:t>
      </w:r>
      <w:r>
        <w:rPr>
          <w:rFonts w:hint="default" w:ascii="Times New Roman" w:hAnsi="Times New Roman" w:eastAsia="仿宋_GB2312" w:cs="Times New Roman"/>
          <w:spacing w:val="-3"/>
          <w:sz w:val="31"/>
          <w:szCs w:val="31"/>
        </w:rPr>
        <w:t>生的结余资金。</w:t>
      </w:r>
    </w:p>
    <w:p>
      <w:pPr>
        <w:spacing w:before="48" w:line="355" w:lineRule="auto"/>
        <w:ind w:left="32" w:right="155"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九、结余分配：</w:t>
      </w:r>
      <w:r>
        <w:rPr>
          <w:rFonts w:hint="default" w:ascii="Times New Roman" w:hAnsi="Times New Roman" w:eastAsia="仿宋_GB2312" w:cs="Times New Roman"/>
          <w:spacing w:val="7"/>
          <w:sz w:val="31"/>
          <w:szCs w:val="31"/>
        </w:rPr>
        <w:t>指事业单位按照会计制度规定缴纳的所</w:t>
      </w:r>
      <w:r>
        <w:rPr>
          <w:rFonts w:hint="default" w:ascii="Times New Roman" w:hAnsi="Times New Roman" w:eastAsia="仿宋_GB2312" w:cs="Times New Roman"/>
          <w:spacing w:val="6"/>
          <w:sz w:val="31"/>
          <w:szCs w:val="31"/>
        </w:rPr>
        <w:t>得税、提取的专用结余以及转入非财政拨款结余的金额等。</w:t>
      </w:r>
    </w:p>
    <w:p>
      <w:pPr>
        <w:spacing w:before="54" w:line="364" w:lineRule="auto"/>
        <w:ind w:left="29" w:right="153"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十、年末结转和结余：</w:t>
      </w:r>
      <w:r>
        <w:rPr>
          <w:rFonts w:hint="default" w:ascii="Times New Roman" w:hAnsi="Times New Roman" w:eastAsia="仿宋_GB2312" w:cs="Times New Roman"/>
          <w:spacing w:val="7"/>
          <w:sz w:val="31"/>
          <w:szCs w:val="31"/>
        </w:rPr>
        <w:t>指单位按有关规定结</w:t>
      </w:r>
      <w:r>
        <w:rPr>
          <w:rFonts w:hint="default" w:ascii="Times New Roman" w:hAnsi="Times New Roman" w:eastAsia="仿宋_GB2312" w:cs="Times New Roman"/>
          <w:spacing w:val="6"/>
          <w:sz w:val="31"/>
          <w:szCs w:val="31"/>
        </w:rPr>
        <w:t>转到下年或</w:t>
      </w:r>
      <w:r>
        <w:rPr>
          <w:rFonts w:hint="default" w:ascii="Times New Roman" w:hAnsi="Times New Roman" w:eastAsia="仿宋_GB2312" w:cs="Times New Roman"/>
          <w:spacing w:val="21"/>
          <w:sz w:val="31"/>
          <w:szCs w:val="31"/>
        </w:rPr>
        <w:t>以后年度继续使用的资金，或项目已完成等产生的结余资</w:t>
      </w:r>
      <w:r>
        <w:rPr>
          <w:rFonts w:hint="default" w:ascii="Times New Roman" w:hAnsi="Times New Roman" w:eastAsia="仿宋_GB2312" w:cs="Times New Roman"/>
          <w:spacing w:val="-16"/>
          <w:sz w:val="31"/>
          <w:szCs w:val="31"/>
        </w:rPr>
        <w:t>金。</w:t>
      </w:r>
    </w:p>
    <w:p>
      <w:pPr>
        <w:spacing w:before="39" w:line="297" w:lineRule="auto"/>
        <w:ind w:left="30" w:right="15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十一、基本支出：</w:t>
      </w:r>
      <w:r>
        <w:rPr>
          <w:rFonts w:hint="default" w:ascii="Times New Roman" w:hAnsi="Times New Roman" w:eastAsia="仿宋_GB2312" w:cs="Times New Roman"/>
          <w:spacing w:val="7"/>
          <w:sz w:val="31"/>
          <w:szCs w:val="31"/>
        </w:rPr>
        <w:t>指为保障机构正常运转、完成日常工</w:t>
      </w:r>
      <w:r>
        <w:rPr>
          <w:rFonts w:hint="default" w:ascii="Times New Roman" w:hAnsi="Times New Roman" w:eastAsia="仿宋_GB2312" w:cs="Times New Roman"/>
          <w:spacing w:val="6"/>
          <w:sz w:val="31"/>
          <w:szCs w:val="31"/>
        </w:rPr>
        <w:t>作任务而发生的人员支出和公用支出。</w:t>
      </w:r>
    </w:p>
    <w:p>
      <w:pPr>
        <w:spacing w:before="250" w:line="298" w:lineRule="auto"/>
        <w:ind w:left="33" w:right="154"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十二、项目支出：</w:t>
      </w:r>
      <w:r>
        <w:rPr>
          <w:rFonts w:hint="default" w:ascii="Times New Roman" w:hAnsi="Times New Roman" w:eastAsia="仿宋_GB2312" w:cs="Times New Roman"/>
          <w:spacing w:val="7"/>
          <w:sz w:val="31"/>
          <w:szCs w:val="31"/>
        </w:rPr>
        <w:t>指在基本支出之外为完成特定行政任</w:t>
      </w:r>
      <w:r>
        <w:rPr>
          <w:rFonts w:hint="default" w:ascii="Times New Roman" w:hAnsi="Times New Roman" w:eastAsia="仿宋_GB2312" w:cs="Times New Roman"/>
          <w:spacing w:val="4"/>
          <w:sz w:val="31"/>
          <w:szCs w:val="31"/>
        </w:rPr>
        <w:t>务或事业发展目标所发生的支出。</w:t>
      </w:r>
    </w:p>
    <w:p>
      <w:pPr>
        <w:spacing w:before="249" w:line="297" w:lineRule="auto"/>
        <w:ind w:left="44" w:right="155" w:firstLine="63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十三、经营支出：</w:t>
      </w:r>
      <w:r>
        <w:rPr>
          <w:rFonts w:hint="default" w:ascii="Times New Roman" w:hAnsi="Times New Roman" w:eastAsia="仿宋_GB2312" w:cs="Times New Roman"/>
          <w:spacing w:val="7"/>
          <w:sz w:val="31"/>
          <w:szCs w:val="31"/>
        </w:rPr>
        <w:t>指事业单位在专业业务活动及其辅助</w:t>
      </w:r>
      <w:r>
        <w:rPr>
          <w:rFonts w:hint="default" w:ascii="Times New Roman" w:hAnsi="Times New Roman" w:eastAsia="仿宋_GB2312" w:cs="Times New Roman"/>
          <w:spacing w:val="5"/>
          <w:sz w:val="31"/>
          <w:szCs w:val="31"/>
        </w:rPr>
        <w:t>活动之外开展非独立核算经营活动发生的支出。</w:t>
      </w:r>
    </w:p>
    <w:p>
      <w:pPr>
        <w:spacing w:before="249" w:line="297" w:lineRule="auto"/>
        <w:ind w:left="40" w:right="153" w:firstLine="64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十四、上缴上级支出：</w:t>
      </w:r>
      <w:r>
        <w:rPr>
          <w:rFonts w:hint="default" w:ascii="Times New Roman" w:hAnsi="Times New Roman" w:eastAsia="仿宋_GB2312" w:cs="Times New Roman"/>
          <w:spacing w:val="7"/>
          <w:sz w:val="31"/>
          <w:szCs w:val="31"/>
        </w:rPr>
        <w:t>指事业单位按照有关</w:t>
      </w:r>
      <w:r>
        <w:rPr>
          <w:rFonts w:hint="default" w:ascii="Times New Roman" w:hAnsi="Times New Roman" w:eastAsia="仿宋_GB2312" w:cs="Times New Roman"/>
          <w:spacing w:val="6"/>
          <w:sz w:val="31"/>
          <w:szCs w:val="31"/>
        </w:rPr>
        <w:t>规定上缴上</w:t>
      </w:r>
      <w:r>
        <w:rPr>
          <w:rFonts w:hint="default" w:ascii="Times New Roman" w:hAnsi="Times New Roman" w:eastAsia="仿宋_GB2312" w:cs="Times New Roman"/>
          <w:spacing w:val="-2"/>
          <w:sz w:val="31"/>
          <w:szCs w:val="31"/>
        </w:rPr>
        <w:t>级单位的支出。</w:t>
      </w:r>
    </w:p>
    <w:p>
      <w:pPr>
        <w:spacing w:before="251" w:line="297" w:lineRule="auto"/>
        <w:ind w:left="29" w:right="152"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十五、对附属单位补助支出：</w:t>
      </w:r>
      <w:r>
        <w:rPr>
          <w:rFonts w:hint="default" w:ascii="Times New Roman" w:hAnsi="Times New Roman" w:eastAsia="仿宋_GB2312" w:cs="Times New Roman"/>
          <w:spacing w:val="6"/>
          <w:sz w:val="31"/>
          <w:szCs w:val="31"/>
        </w:rPr>
        <w:t>指事业单位用财政补助收</w:t>
      </w:r>
      <w:r>
        <w:rPr>
          <w:rFonts w:hint="default" w:ascii="Times New Roman" w:hAnsi="Times New Roman" w:eastAsia="仿宋_GB2312" w:cs="Times New Roman"/>
          <w:spacing w:val="8"/>
          <w:sz w:val="31"/>
          <w:szCs w:val="31"/>
        </w:rPr>
        <w:t>入之外的收入对附属单位补助发生的支出。</w:t>
      </w:r>
    </w:p>
    <w:p>
      <w:pPr>
        <w:spacing w:before="252" w:line="342" w:lineRule="auto"/>
        <w:ind w:left="25" w:firstLine="658"/>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十六、“三公”经费：</w:t>
      </w:r>
      <w:r>
        <w:rPr>
          <w:rFonts w:hint="default" w:ascii="Times New Roman" w:hAnsi="Times New Roman" w:eastAsia="仿宋_GB2312" w:cs="Times New Roman"/>
          <w:spacing w:val="7"/>
          <w:sz w:val="31"/>
          <w:szCs w:val="31"/>
        </w:rPr>
        <w:t>纳入省级财政预决算</w:t>
      </w:r>
      <w:r>
        <w:rPr>
          <w:rFonts w:hint="default" w:ascii="Times New Roman" w:hAnsi="Times New Roman" w:eastAsia="仿宋_GB2312" w:cs="Times New Roman"/>
          <w:spacing w:val="6"/>
          <w:sz w:val="31"/>
          <w:szCs w:val="31"/>
        </w:rPr>
        <w:t>管理的“三</w:t>
      </w:r>
      <w:r>
        <w:rPr>
          <w:rFonts w:hint="default" w:ascii="Times New Roman" w:hAnsi="Times New Roman" w:eastAsia="仿宋_GB2312" w:cs="Times New Roman"/>
          <w:spacing w:val="9"/>
          <w:sz w:val="31"/>
          <w:szCs w:val="31"/>
        </w:rPr>
        <w:t>公”经费，是指省级部门用财政拨款安排的因公出国（境）费、公务用车购置及运行维护费和公务接待费。是党</w:t>
      </w:r>
      <w:r>
        <w:rPr>
          <w:rFonts w:hint="default" w:ascii="Times New Roman" w:hAnsi="Times New Roman" w:eastAsia="仿宋_GB2312" w:cs="Times New Roman"/>
          <w:spacing w:val="8"/>
          <w:sz w:val="31"/>
          <w:szCs w:val="31"/>
        </w:rPr>
        <w:t>政机关</w:t>
      </w:r>
      <w:r>
        <w:rPr>
          <w:rFonts w:hint="default" w:ascii="Times New Roman" w:hAnsi="Times New Roman" w:eastAsia="仿宋_GB2312" w:cs="Times New Roman"/>
          <w:spacing w:val="9"/>
          <w:sz w:val="31"/>
          <w:szCs w:val="31"/>
        </w:rPr>
        <w:t>维持运转或完成特定工作任务所开支的相关支出，</w:t>
      </w:r>
      <w:r>
        <w:rPr>
          <w:rFonts w:hint="default" w:ascii="Times New Roman" w:hAnsi="Times New Roman" w:eastAsia="仿宋_GB2312" w:cs="Times New Roman"/>
          <w:spacing w:val="8"/>
          <w:sz w:val="31"/>
          <w:szCs w:val="31"/>
        </w:rPr>
        <w:t>是政府行</w:t>
      </w:r>
      <w:r>
        <w:rPr>
          <w:rFonts w:hint="default" w:ascii="Times New Roman" w:hAnsi="Times New Roman" w:eastAsia="仿宋_GB2312" w:cs="Times New Roman"/>
          <w:spacing w:val="-12"/>
          <w:sz w:val="31"/>
          <w:szCs w:val="31"/>
        </w:rPr>
        <w:t>政开支的一部分。其中，因公出国（境）费反映公</w:t>
      </w:r>
      <w:r>
        <w:rPr>
          <w:rFonts w:hint="default" w:ascii="Times New Roman" w:hAnsi="Times New Roman" w:eastAsia="仿宋_GB2312" w:cs="Times New Roman"/>
          <w:spacing w:val="-13"/>
          <w:sz w:val="31"/>
          <w:szCs w:val="31"/>
        </w:rPr>
        <w:t>务出国（境）</w:t>
      </w:r>
    </w:p>
    <w:p>
      <w:pPr>
        <w:spacing w:line="342" w:lineRule="auto"/>
        <w:rPr>
          <w:rFonts w:hint="default" w:ascii="Times New Roman" w:hAnsi="Times New Roman" w:eastAsia="仿宋_GB2312" w:cs="Times New Roman"/>
          <w:sz w:val="31"/>
          <w:szCs w:val="31"/>
        </w:rPr>
        <w:sectPr>
          <w:footerReference r:id="rId17" w:type="default"/>
          <w:pgSz w:w="11907" w:h="16839"/>
          <w:pgMar w:top="1431" w:right="1646" w:bottom="1153" w:left="1785" w:header="0" w:footer="965" w:gutter="0"/>
        </w:sectPr>
      </w:pPr>
    </w:p>
    <w:p>
      <w:pPr>
        <w:spacing w:before="155" w:line="366" w:lineRule="auto"/>
        <w:ind w:left="25" w:firstLine="2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的国际旅费、国外城市间交通费、住宿费、伙食费、培训费、</w:t>
      </w:r>
      <w:r>
        <w:rPr>
          <w:rFonts w:hint="default" w:ascii="Times New Roman" w:hAnsi="Times New Roman" w:eastAsia="仿宋_GB2312" w:cs="Times New Roman"/>
          <w:spacing w:val="9"/>
          <w:sz w:val="31"/>
          <w:szCs w:val="31"/>
        </w:rPr>
        <w:t>公杂费等支出；公务用车购置及运行费反映单位公务用</w:t>
      </w:r>
      <w:r>
        <w:rPr>
          <w:rFonts w:hint="default" w:ascii="Times New Roman" w:hAnsi="Times New Roman" w:eastAsia="仿宋_GB2312" w:cs="Times New Roman"/>
          <w:spacing w:val="8"/>
          <w:sz w:val="31"/>
          <w:szCs w:val="31"/>
        </w:rPr>
        <w:t>车车</w:t>
      </w:r>
      <w:r>
        <w:rPr>
          <w:rFonts w:hint="default" w:ascii="Times New Roman" w:hAnsi="Times New Roman" w:eastAsia="仿宋_GB2312" w:cs="Times New Roman"/>
          <w:spacing w:val="9"/>
          <w:sz w:val="31"/>
          <w:szCs w:val="31"/>
        </w:rPr>
        <w:t>辆购置支出（含车辆购置税）及燃料费、维修费、过桥</w:t>
      </w:r>
      <w:r>
        <w:rPr>
          <w:rFonts w:hint="default" w:ascii="Times New Roman" w:hAnsi="Times New Roman" w:eastAsia="仿宋_GB2312" w:cs="Times New Roman"/>
          <w:spacing w:val="8"/>
          <w:sz w:val="31"/>
          <w:szCs w:val="31"/>
        </w:rPr>
        <w:t>过路</w:t>
      </w:r>
      <w:r>
        <w:rPr>
          <w:rFonts w:hint="default" w:ascii="Times New Roman" w:hAnsi="Times New Roman" w:eastAsia="仿宋_GB2312" w:cs="Times New Roman"/>
          <w:spacing w:val="9"/>
          <w:sz w:val="31"/>
          <w:szCs w:val="31"/>
        </w:rPr>
        <w:t>费、保险费、安全奖励费等支出；公务接待费反映单位</w:t>
      </w:r>
      <w:r>
        <w:rPr>
          <w:rFonts w:hint="default" w:ascii="Times New Roman" w:hAnsi="Times New Roman" w:eastAsia="仿宋_GB2312" w:cs="Times New Roman"/>
          <w:spacing w:val="8"/>
          <w:sz w:val="31"/>
          <w:szCs w:val="31"/>
        </w:rPr>
        <w:t>按规</w:t>
      </w:r>
      <w:r>
        <w:rPr>
          <w:rFonts w:hint="default" w:ascii="Times New Roman" w:hAnsi="Times New Roman" w:eastAsia="仿宋_GB2312" w:cs="Times New Roman"/>
          <w:spacing w:val="7"/>
          <w:sz w:val="31"/>
          <w:szCs w:val="31"/>
        </w:rPr>
        <w:t>定开支的各类公务接待（含外宾接待）支出。</w:t>
      </w:r>
    </w:p>
    <w:p>
      <w:pPr>
        <w:spacing w:before="48" w:line="347" w:lineRule="auto"/>
        <w:ind w:left="26" w:right="9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十七、机关运行经费：</w:t>
      </w:r>
      <w:r>
        <w:rPr>
          <w:rFonts w:hint="default" w:ascii="Times New Roman" w:hAnsi="Times New Roman" w:eastAsia="仿宋_GB2312" w:cs="Times New Roman"/>
          <w:spacing w:val="7"/>
          <w:sz w:val="31"/>
          <w:szCs w:val="31"/>
        </w:rPr>
        <w:t>指为保障行政单位（包</w:t>
      </w:r>
      <w:r>
        <w:rPr>
          <w:rFonts w:hint="default" w:ascii="Times New Roman" w:hAnsi="Times New Roman" w:eastAsia="仿宋_GB2312" w:cs="Times New Roman"/>
          <w:spacing w:val="6"/>
          <w:sz w:val="31"/>
          <w:szCs w:val="31"/>
        </w:rPr>
        <w:t>括参照公</w:t>
      </w:r>
      <w:r>
        <w:rPr>
          <w:rFonts w:hint="default" w:ascii="Times New Roman" w:hAnsi="Times New Roman" w:eastAsia="仿宋_GB2312" w:cs="Times New Roman"/>
          <w:spacing w:val="9"/>
          <w:sz w:val="31"/>
          <w:szCs w:val="31"/>
        </w:rPr>
        <w:t>务员法管理的事业单位）运行用于购买货物和服务的</w:t>
      </w:r>
      <w:r>
        <w:rPr>
          <w:rFonts w:hint="default" w:ascii="Times New Roman" w:hAnsi="Times New Roman" w:eastAsia="仿宋_GB2312" w:cs="Times New Roman"/>
          <w:spacing w:val="8"/>
          <w:sz w:val="31"/>
          <w:szCs w:val="31"/>
        </w:rPr>
        <w:t>各项资</w:t>
      </w:r>
      <w:r>
        <w:rPr>
          <w:rFonts w:hint="default" w:ascii="Times New Roman" w:hAnsi="Times New Roman" w:eastAsia="仿宋_GB2312" w:cs="Times New Roman"/>
          <w:spacing w:val="6"/>
          <w:sz w:val="31"/>
          <w:szCs w:val="31"/>
        </w:rPr>
        <w:t>金，包括办公费、印刷费、邮电费、差旅费、会议费、福利</w:t>
      </w:r>
      <w:r>
        <w:rPr>
          <w:rFonts w:hint="default" w:ascii="Times New Roman" w:hAnsi="Times New Roman" w:eastAsia="仿宋_GB2312" w:cs="Times New Roman"/>
          <w:spacing w:val="9"/>
          <w:sz w:val="31"/>
          <w:szCs w:val="31"/>
        </w:rPr>
        <w:t>费、日常维修费、专用材料及一般设备购置费、</w:t>
      </w:r>
      <w:r>
        <w:rPr>
          <w:rFonts w:hint="default" w:ascii="Times New Roman" w:hAnsi="Times New Roman" w:eastAsia="仿宋_GB2312" w:cs="Times New Roman"/>
          <w:spacing w:val="8"/>
          <w:sz w:val="31"/>
          <w:szCs w:val="31"/>
        </w:rPr>
        <w:t>办公用房水</w:t>
      </w:r>
      <w:r>
        <w:rPr>
          <w:rFonts w:hint="default" w:ascii="Times New Roman" w:hAnsi="Times New Roman" w:eastAsia="仿宋_GB2312" w:cs="Times New Roman"/>
          <w:spacing w:val="9"/>
          <w:sz w:val="31"/>
          <w:szCs w:val="31"/>
        </w:rPr>
        <w:t>电费、办公用房取暖费、办公用房物业管理费、</w:t>
      </w:r>
      <w:r>
        <w:rPr>
          <w:rFonts w:hint="default" w:ascii="Times New Roman" w:hAnsi="Times New Roman" w:eastAsia="仿宋_GB2312" w:cs="Times New Roman"/>
          <w:spacing w:val="8"/>
          <w:sz w:val="31"/>
          <w:szCs w:val="31"/>
        </w:rPr>
        <w:t>公务用车运</w:t>
      </w:r>
      <w:r>
        <w:rPr>
          <w:rFonts w:hint="default" w:ascii="Times New Roman" w:hAnsi="Times New Roman" w:eastAsia="仿宋_GB2312" w:cs="Times New Roman"/>
          <w:spacing w:val="3"/>
          <w:sz w:val="31"/>
          <w:szCs w:val="31"/>
        </w:rPr>
        <w:t>行维护费以及其他费用。</w:t>
      </w:r>
    </w:p>
    <w:p>
      <w:pPr>
        <w:spacing w:before="250" w:line="322" w:lineRule="auto"/>
        <w:ind w:left="43" w:right="93" w:firstLine="64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十八、******</w:t>
      </w:r>
      <w:r>
        <w:rPr>
          <w:rFonts w:hint="default" w:ascii="Times New Roman" w:hAnsi="Times New Roman" w:eastAsia="仿宋_GB2312" w:cs="Times New Roman"/>
          <w:spacing w:val="6"/>
          <w:sz w:val="31"/>
          <w:szCs w:val="31"/>
        </w:rPr>
        <w:t>（对部门使用的所有“项”级政府收支分</w:t>
      </w:r>
      <w:r>
        <w:rPr>
          <w:rFonts w:hint="default" w:ascii="Times New Roman" w:hAnsi="Times New Roman" w:eastAsia="仿宋_GB2312" w:cs="Times New Roman"/>
          <w:spacing w:val="7"/>
          <w:sz w:val="31"/>
          <w:szCs w:val="31"/>
        </w:rPr>
        <w:t>类科目，参照《2023年政府收支分类科目》中的科目说明和</w:t>
      </w:r>
      <w:r>
        <w:rPr>
          <w:rFonts w:hint="default" w:ascii="Times New Roman" w:hAnsi="Times New Roman" w:eastAsia="仿宋_GB2312" w:cs="Times New Roman"/>
          <w:spacing w:val="5"/>
          <w:sz w:val="31"/>
          <w:szCs w:val="31"/>
        </w:rPr>
        <w:t>中央部门决算公开内容进行说明</w:t>
      </w:r>
      <w:r>
        <w:rPr>
          <w:rFonts w:hint="default" w:ascii="Times New Roman" w:hAnsi="Times New Roman" w:eastAsia="仿宋_GB2312" w:cs="Times New Roman"/>
          <w:spacing w:val="19"/>
          <w:sz w:val="31"/>
          <w:szCs w:val="31"/>
        </w:rPr>
        <w:t>）：</w:t>
      </w:r>
    </w:p>
    <w:p>
      <w:pPr>
        <w:spacing w:before="250" w:line="224" w:lineRule="auto"/>
        <w:ind w:left="68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8"/>
          <w:sz w:val="31"/>
          <w:szCs w:val="31"/>
        </w:rPr>
        <w:t>十九、</w:t>
      </w:r>
      <w:r>
        <w:rPr>
          <w:rFonts w:hint="default" w:ascii="Times New Roman" w:hAnsi="Times New Roman" w:eastAsia="仿宋_GB2312" w:cs="Times New Roman"/>
          <w:spacing w:val="-8"/>
          <w:sz w:val="31"/>
          <w:szCs w:val="31"/>
        </w:rPr>
        <w:t>……（同上）</w:t>
      </w:r>
    </w:p>
    <w:p>
      <w:pPr>
        <w:spacing w:before="249" w:line="355" w:lineRule="auto"/>
        <w:ind w:left="26" w:right="98" w:firstLine="648"/>
        <w:rPr>
          <w:rFonts w:hint="default" w:ascii="Times New Roman" w:hAnsi="Times New Roman" w:eastAsia="仿宋_GB2312" w:cs="Times New Roman"/>
          <w:color w:val="FF0000"/>
          <w:spacing w:val="5"/>
          <w:sz w:val="31"/>
          <w:szCs w:val="31"/>
        </w:rPr>
      </w:pPr>
    </w:p>
    <w:sectPr>
      <w:footerReference r:id="rId18" w:type="default"/>
      <w:pgSz w:w="11907" w:h="16839"/>
      <w:pgMar w:top="1431" w:right="1705" w:bottom="1153" w:left="1785" w:header="0" w:footer="965"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13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Times New Roman" w:hAnsi="Times New Roman" w:eastAsia="Times New Roman" w:cs="Times New Roman"/>
        <w:sz w:val="21"/>
        <w:szCs w:val="21"/>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118"/>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24"/>
      <w:rPr>
        <w:rFonts w:ascii="Times New Roman" w:hAnsi="Times New Roman" w:eastAsia="Times New Roman" w:cs="Times New Roman"/>
        <w:sz w:val="21"/>
        <w:szCs w:val="21"/>
      </w:rPr>
    </w:pPr>
    <w:r>
      <w:rPr>
        <w:rFonts w:ascii="Times New Roman" w:hAnsi="Times New Roman" w:eastAsia="Times New Roman" w:cs="Times New Roman"/>
        <w:sz w:val="21"/>
        <w:szCs w:val="21"/>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7"/>
      <w:rPr>
        <w:rFonts w:ascii="Times New Roman" w:hAnsi="Times New Roman" w:eastAsia="Times New Roman" w:cs="Times New Roman"/>
        <w:sz w:val="21"/>
        <w:szCs w:val="21"/>
      </w:rPr>
    </w:pPr>
    <w:r>
      <w:rPr>
        <w:rFonts w:ascii="Times New Roman" w:hAnsi="Times New Roman" w:eastAsia="Times New Roman" w:cs="Times New Roman"/>
        <w:sz w:val="21"/>
        <w:szCs w:val="21"/>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090"/>
      <w:rPr>
        <w:rFonts w:ascii="Times New Roman" w:hAnsi="Times New Roman" w:eastAsia="Times New Roman" w:cs="Times New Roman"/>
        <w:sz w:val="21"/>
        <w:szCs w:val="21"/>
      </w:rPr>
    </w:pPr>
    <w:r>
      <w:rPr>
        <w:rFonts w:ascii="Times New Roman" w:hAnsi="Times New Roman" w:eastAsia="Times New Roman" w:cs="Times New Roman"/>
        <w:spacing w:val="-8"/>
        <w:sz w:val="21"/>
        <w:szCs w:val="21"/>
      </w:rPr>
      <w:t>11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3005D"/>
    <w:multiLevelType w:val="multilevel"/>
    <w:tmpl w:val="08A3005D"/>
    <w:lvl w:ilvl="0" w:tentative="0">
      <w:start w:val="1"/>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B5C1D8D"/>
    <w:multiLevelType w:val="multilevel"/>
    <w:tmpl w:val="5B5C1D8D"/>
    <w:lvl w:ilvl="0" w:tentative="0">
      <w:start w:val="2"/>
      <w:numFmt w:val="decimal"/>
      <w:lvlText w:val="%1、"/>
      <w:lvlJc w:val="left"/>
      <w:pPr>
        <w:ind w:left="1428" w:hanging="720"/>
      </w:pPr>
      <w:rPr>
        <w:rFonts w:hint="default"/>
      </w:rPr>
    </w:lvl>
    <w:lvl w:ilvl="1" w:tentative="0">
      <w:start w:val="1"/>
      <w:numFmt w:val="lowerLetter"/>
      <w:lvlText w:val="%2)"/>
      <w:lvlJc w:val="left"/>
      <w:pPr>
        <w:ind w:left="1196" w:hanging="420"/>
      </w:pPr>
    </w:lvl>
    <w:lvl w:ilvl="2" w:tentative="0">
      <w:start w:val="1"/>
      <w:numFmt w:val="lowerRoman"/>
      <w:lvlText w:val="%3."/>
      <w:lvlJc w:val="right"/>
      <w:pPr>
        <w:ind w:left="1616" w:hanging="420"/>
      </w:pPr>
    </w:lvl>
    <w:lvl w:ilvl="3" w:tentative="0">
      <w:start w:val="1"/>
      <w:numFmt w:val="decimal"/>
      <w:lvlText w:val="%4."/>
      <w:lvlJc w:val="left"/>
      <w:pPr>
        <w:ind w:left="2036" w:hanging="420"/>
      </w:pPr>
    </w:lvl>
    <w:lvl w:ilvl="4" w:tentative="0">
      <w:start w:val="1"/>
      <w:numFmt w:val="lowerLetter"/>
      <w:lvlText w:val="%5)"/>
      <w:lvlJc w:val="left"/>
      <w:pPr>
        <w:ind w:left="2456" w:hanging="420"/>
      </w:pPr>
    </w:lvl>
    <w:lvl w:ilvl="5" w:tentative="0">
      <w:start w:val="1"/>
      <w:numFmt w:val="lowerRoman"/>
      <w:lvlText w:val="%6."/>
      <w:lvlJc w:val="right"/>
      <w:pPr>
        <w:ind w:left="2876" w:hanging="420"/>
      </w:pPr>
    </w:lvl>
    <w:lvl w:ilvl="6" w:tentative="0">
      <w:start w:val="1"/>
      <w:numFmt w:val="decimal"/>
      <w:lvlText w:val="%7."/>
      <w:lvlJc w:val="left"/>
      <w:pPr>
        <w:ind w:left="3296" w:hanging="420"/>
      </w:pPr>
    </w:lvl>
    <w:lvl w:ilvl="7" w:tentative="0">
      <w:start w:val="1"/>
      <w:numFmt w:val="lowerLetter"/>
      <w:lvlText w:val="%8)"/>
      <w:lvlJc w:val="left"/>
      <w:pPr>
        <w:ind w:left="3716" w:hanging="420"/>
      </w:pPr>
    </w:lvl>
    <w:lvl w:ilvl="8" w:tentative="0">
      <w:start w:val="1"/>
      <w:numFmt w:val="lowerRoman"/>
      <w:lvlText w:val="%9."/>
      <w:lvlJc w:val="right"/>
      <w:pPr>
        <w:ind w:left="413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929068C"/>
    <w:rsid w:val="16E22E2F"/>
    <w:rsid w:val="2324183F"/>
    <w:rsid w:val="28690052"/>
    <w:rsid w:val="3DCE5F14"/>
    <w:rsid w:val="57536522"/>
    <w:rsid w:val="72A431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 Char"/>
    <w:basedOn w:val="1"/>
    <w:link w:val="6"/>
    <w:qFormat/>
    <w:uiPriority w:val="0"/>
    <w:pPr>
      <w:widowControl/>
      <w:spacing w:after="160" w:line="240" w:lineRule="exact"/>
      <w:jc w:val="left"/>
    </w:pPr>
    <w:rPr>
      <w:rFonts w:eastAsia="宋体"/>
      <w:sz w:val="21"/>
      <w:szCs w:val="20"/>
    </w:rPr>
  </w:style>
  <w:style w:type="character" w:styleId="8">
    <w:name w:val="page number"/>
    <w:basedOn w:val="6"/>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10.jpeg"/><Relationship Id="rId28" Type="http://schemas.openxmlformats.org/officeDocument/2006/relationships/image" Target="media/image9.png"/><Relationship Id="rId27" Type="http://schemas.openxmlformats.org/officeDocument/2006/relationships/image" Target="media/image8.png"/><Relationship Id="rId26" Type="http://schemas.openxmlformats.org/officeDocument/2006/relationships/image" Target="media/image7.png"/><Relationship Id="rId25" Type="http://schemas.openxmlformats.org/officeDocument/2006/relationships/image" Target="media/image6.png"/><Relationship Id="rId24" Type="http://schemas.openxmlformats.org/officeDocument/2006/relationships/image" Target="media/image5.png"/><Relationship Id="rId23" Type="http://schemas.openxmlformats.org/officeDocument/2006/relationships/image" Target="media/image4.pn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Office_11.8.2.9022_F1E327BC-269C-435d-A152-05C5408002CA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Administrator</cp:lastModifiedBy>
  <cp:lastPrinted>2024-10-29T07:27:17Z</cp:lastPrinted>
  <dcterms:modified xsi:type="dcterms:W3CDTF">2024-10-29T07:27:46Z</dcterms:modified>
  <dc:title>2015年度部门决算公开模板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2052-11.8.2.9022</vt:lpwstr>
  </property>
</Properties>
</file>