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BF5EE">
      <w:pPr>
        <w:widowControl w:val="0"/>
        <w:kinsoku/>
        <w:autoSpaceDE/>
        <w:autoSpaceDN/>
        <w:adjustRightInd/>
        <w:snapToGrid/>
        <w:spacing w:line="240" w:lineRule="auto"/>
        <w:jc w:val="both"/>
        <w:textAlignment w:val="auto"/>
        <w:rPr>
          <w:rFonts w:hint="eastAsia" w:ascii="仿宋" w:hAnsi="仿宋" w:eastAsia="仿宋" w:cs="Times New Roman"/>
          <w:snapToGrid/>
          <w:kern w:val="2"/>
          <w:sz w:val="28"/>
          <w:szCs w:val="28"/>
          <w:lang w:eastAsia="zh-CN"/>
        </w:rPr>
      </w:pPr>
    </w:p>
    <w:p w14:paraId="129219EE">
      <w:pPr>
        <w:widowControl w:val="0"/>
        <w:kinsoku/>
        <w:autoSpaceDE/>
        <w:autoSpaceDN/>
        <w:adjustRightInd/>
        <w:snapToGrid/>
        <w:spacing w:line="240" w:lineRule="auto"/>
        <w:jc w:val="both"/>
        <w:textAlignment w:val="auto"/>
        <w:rPr>
          <w:rFonts w:hint="eastAsia"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hint="default"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26A2C287">
      <w:pPr>
        <w:pStyle w:val="2"/>
        <w:spacing w:line="251" w:lineRule="auto"/>
      </w:pPr>
    </w:p>
    <w:p w14:paraId="1FAD8C82">
      <w:pPr>
        <w:pStyle w:val="2"/>
        <w:spacing w:line="251" w:lineRule="auto"/>
      </w:pPr>
    </w:p>
    <w:p w14:paraId="7772E580">
      <w:pPr>
        <w:pStyle w:val="2"/>
        <w:spacing w:line="252" w:lineRule="auto"/>
      </w:pPr>
    </w:p>
    <w:p w14:paraId="7C14BD82">
      <w:pPr>
        <w:pStyle w:val="2"/>
        <w:spacing w:line="252" w:lineRule="auto"/>
      </w:pPr>
    </w:p>
    <w:p w14:paraId="6C1A656C">
      <w:pPr>
        <w:pStyle w:val="2"/>
        <w:spacing w:line="252" w:lineRule="auto"/>
      </w:pPr>
    </w:p>
    <w:p w14:paraId="178E1CCF">
      <w:pPr>
        <w:pStyle w:val="2"/>
        <w:spacing w:line="252" w:lineRule="auto"/>
      </w:pPr>
    </w:p>
    <w:p w14:paraId="69A9889D">
      <w:pPr>
        <w:pStyle w:val="2"/>
        <w:spacing w:line="252" w:lineRule="auto"/>
      </w:pPr>
    </w:p>
    <w:p w14:paraId="259E2EFB">
      <w:pPr>
        <w:pStyle w:val="2"/>
        <w:spacing w:line="252" w:lineRule="auto"/>
      </w:pPr>
    </w:p>
    <w:p w14:paraId="14FC8B36">
      <w:pPr>
        <w:pStyle w:val="2"/>
        <w:spacing w:line="252" w:lineRule="auto"/>
      </w:pPr>
    </w:p>
    <w:p w14:paraId="707F570D">
      <w:pPr>
        <w:pStyle w:val="2"/>
        <w:spacing w:line="252" w:lineRule="auto"/>
      </w:pPr>
    </w:p>
    <w:p w14:paraId="61ED93E0">
      <w:pPr>
        <w:pStyle w:val="2"/>
        <w:spacing w:line="252" w:lineRule="auto"/>
      </w:pPr>
    </w:p>
    <w:p w14:paraId="17470D8B">
      <w:pPr>
        <w:pStyle w:val="2"/>
        <w:spacing w:line="252" w:lineRule="auto"/>
      </w:pPr>
    </w:p>
    <w:p w14:paraId="7BE18143">
      <w:pPr>
        <w:pStyle w:val="2"/>
        <w:spacing w:line="252" w:lineRule="auto"/>
      </w:pPr>
    </w:p>
    <w:p w14:paraId="79DD01A8">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r>
        <w:rPr>
          <w:rFonts w:hint="default" w:ascii="Times New Roman" w:hAnsi="Times New Roman" w:eastAsia="黑体" w:cs="Times New Roman"/>
          <w:snapToGrid/>
          <w:kern w:val="2"/>
          <w:sz w:val="44"/>
          <w:szCs w:val="44"/>
          <w:lang w:eastAsia="zh-CN"/>
        </w:rPr>
        <w:t>2023 年度</w:t>
      </w:r>
    </w:p>
    <w:p w14:paraId="6B7DED41">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p>
    <w:p w14:paraId="2949A41B">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val="en-US" w:eastAsia="zh-CN"/>
        </w:rPr>
      </w:pPr>
      <w:r>
        <w:rPr>
          <w:rFonts w:hint="default" w:ascii="Times New Roman" w:hAnsi="Times New Roman" w:eastAsia="黑体" w:cs="Times New Roman"/>
          <w:snapToGrid/>
          <w:kern w:val="2"/>
          <w:sz w:val="44"/>
          <w:szCs w:val="44"/>
          <w:lang w:val="en-US" w:eastAsia="zh-CN"/>
        </w:rPr>
        <w:t>中国共产党榆树市纪律检查委员会</w:t>
      </w:r>
    </w:p>
    <w:p w14:paraId="7714ADB6">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pPr>
      <w:r>
        <w:rPr>
          <w:rFonts w:hint="default" w:ascii="Times New Roman" w:hAnsi="Times New Roman" w:eastAsia="黑体" w:cs="Times New Roman"/>
          <w:snapToGrid/>
          <w:kern w:val="2"/>
          <w:sz w:val="44"/>
          <w:szCs w:val="44"/>
          <w:lang w:eastAsia="zh-CN"/>
        </w:rPr>
        <w:t>部门决算</w:t>
      </w:r>
    </w:p>
    <w:p w14:paraId="5D6FDFEE">
      <w:pPr>
        <w:pStyle w:val="2"/>
        <w:spacing w:line="242" w:lineRule="auto"/>
      </w:pPr>
    </w:p>
    <w:p w14:paraId="79387CA4">
      <w:pPr>
        <w:pStyle w:val="2"/>
        <w:spacing w:line="242" w:lineRule="auto"/>
      </w:pPr>
    </w:p>
    <w:p w14:paraId="1D1D5390">
      <w:pPr>
        <w:pStyle w:val="2"/>
        <w:spacing w:line="242" w:lineRule="auto"/>
      </w:pPr>
    </w:p>
    <w:p w14:paraId="459C58FD">
      <w:pPr>
        <w:pStyle w:val="2"/>
        <w:spacing w:line="242" w:lineRule="auto"/>
      </w:pPr>
    </w:p>
    <w:p w14:paraId="0AB25D78">
      <w:pPr>
        <w:pStyle w:val="2"/>
        <w:spacing w:line="242" w:lineRule="auto"/>
      </w:pPr>
    </w:p>
    <w:p w14:paraId="25A039C3">
      <w:pPr>
        <w:pStyle w:val="2"/>
        <w:spacing w:line="242" w:lineRule="auto"/>
      </w:pPr>
    </w:p>
    <w:p w14:paraId="28BFE0F7">
      <w:pPr>
        <w:pStyle w:val="2"/>
        <w:spacing w:line="242" w:lineRule="auto"/>
      </w:pPr>
    </w:p>
    <w:p w14:paraId="645BBF8A">
      <w:pPr>
        <w:pStyle w:val="2"/>
        <w:spacing w:line="242" w:lineRule="auto"/>
      </w:pPr>
    </w:p>
    <w:p w14:paraId="61D60E66">
      <w:pPr>
        <w:pStyle w:val="2"/>
        <w:spacing w:line="242" w:lineRule="auto"/>
      </w:pPr>
    </w:p>
    <w:p w14:paraId="19EEAFD7">
      <w:pPr>
        <w:pStyle w:val="2"/>
        <w:spacing w:line="242" w:lineRule="auto"/>
      </w:pPr>
    </w:p>
    <w:p w14:paraId="72B0A7BB">
      <w:pPr>
        <w:pStyle w:val="2"/>
        <w:spacing w:line="242" w:lineRule="auto"/>
      </w:pPr>
    </w:p>
    <w:p w14:paraId="1DC5E1A4">
      <w:pPr>
        <w:pStyle w:val="2"/>
        <w:spacing w:line="243" w:lineRule="auto"/>
      </w:pPr>
    </w:p>
    <w:p w14:paraId="23048747">
      <w:pPr>
        <w:pStyle w:val="2"/>
        <w:spacing w:line="243" w:lineRule="auto"/>
      </w:pPr>
    </w:p>
    <w:p w14:paraId="5EA6E769">
      <w:pPr>
        <w:pStyle w:val="2"/>
        <w:spacing w:line="243" w:lineRule="auto"/>
      </w:pPr>
    </w:p>
    <w:p w14:paraId="5CE60670">
      <w:pPr>
        <w:pStyle w:val="2"/>
        <w:spacing w:line="243" w:lineRule="auto"/>
      </w:pPr>
    </w:p>
    <w:p w14:paraId="79FE6CD6">
      <w:pPr>
        <w:pStyle w:val="2"/>
        <w:spacing w:line="243" w:lineRule="auto"/>
      </w:pPr>
    </w:p>
    <w:p w14:paraId="52AD30DB">
      <w:pPr>
        <w:pStyle w:val="2"/>
        <w:spacing w:line="243" w:lineRule="auto"/>
      </w:pPr>
    </w:p>
    <w:p w14:paraId="1D0D1CA2">
      <w:pPr>
        <w:pStyle w:val="2"/>
        <w:spacing w:line="243" w:lineRule="auto"/>
      </w:pPr>
    </w:p>
    <w:p w14:paraId="5C1DAFFC">
      <w:pPr>
        <w:pStyle w:val="2"/>
        <w:spacing w:line="243" w:lineRule="auto"/>
      </w:pPr>
    </w:p>
    <w:p w14:paraId="55AD9E34">
      <w:pPr>
        <w:pStyle w:val="2"/>
        <w:spacing w:line="243" w:lineRule="auto"/>
      </w:pPr>
    </w:p>
    <w:p w14:paraId="5F8A89CA">
      <w:pPr>
        <w:widowControl w:val="0"/>
        <w:kinsoku/>
        <w:autoSpaceDE/>
        <w:autoSpaceDN/>
        <w:adjustRightInd/>
        <w:snapToGrid/>
        <w:spacing w:line="240" w:lineRule="auto"/>
        <w:jc w:val="center"/>
        <w:textAlignment w:val="auto"/>
        <w:rPr>
          <w:rFonts w:hint="default" w:ascii="仿宋" w:hAnsi="仿宋" w:eastAsia="仿宋" w:cs="Arial"/>
          <w:snapToGrid/>
          <w:kern w:val="2"/>
          <w:sz w:val="32"/>
          <w:szCs w:val="32"/>
          <w:lang w:eastAsia="zh-CN"/>
        </w:rPr>
      </w:pPr>
      <w:r>
        <w:rPr>
          <w:rFonts w:hint="default" w:ascii="Times New Roman" w:hAnsi="Times New Roman" w:eastAsia="仿宋" w:cs="Times New Roman"/>
          <w:snapToGrid/>
          <w:kern w:val="2"/>
          <w:sz w:val="32"/>
          <w:szCs w:val="32"/>
          <w:lang w:eastAsia="zh-CN"/>
        </w:rPr>
        <w:t xml:space="preserve">2024 </w:t>
      </w:r>
      <w:r>
        <w:rPr>
          <w:rFonts w:hint="default" w:ascii="仿宋" w:hAnsi="仿宋" w:eastAsia="仿宋" w:cs="Arial"/>
          <w:snapToGrid/>
          <w:kern w:val="2"/>
          <w:sz w:val="32"/>
          <w:szCs w:val="32"/>
          <w:lang w:eastAsia="zh-CN"/>
        </w:rPr>
        <w:t>年</w:t>
      </w:r>
      <w:r>
        <w:rPr>
          <w:rFonts w:hint="eastAsia" w:ascii="仿宋" w:hAnsi="仿宋" w:eastAsia="仿宋" w:cs="Arial"/>
          <w:snapToGrid/>
          <w:kern w:val="2"/>
          <w:sz w:val="32"/>
          <w:szCs w:val="32"/>
          <w:lang w:val="en-US" w:eastAsia="zh-CN"/>
        </w:rPr>
        <w:t xml:space="preserve"> 10 </w:t>
      </w:r>
      <w:r>
        <w:rPr>
          <w:rFonts w:hint="default" w:ascii="仿宋" w:hAnsi="仿宋" w:eastAsia="仿宋" w:cs="Arial"/>
          <w:snapToGrid/>
          <w:kern w:val="2"/>
          <w:sz w:val="32"/>
          <w:szCs w:val="32"/>
          <w:lang w:eastAsia="zh-CN"/>
        </w:rPr>
        <w:t xml:space="preserve">月 </w:t>
      </w:r>
      <w:r>
        <w:rPr>
          <w:rFonts w:hint="eastAsia" w:ascii="仿宋" w:hAnsi="仿宋" w:eastAsia="仿宋" w:cs="Arial"/>
          <w:snapToGrid/>
          <w:kern w:val="2"/>
          <w:sz w:val="32"/>
          <w:szCs w:val="32"/>
          <w:lang w:val="en-US" w:eastAsia="zh-CN"/>
        </w:rPr>
        <w:t>25</w:t>
      </w:r>
      <w:r>
        <w:rPr>
          <w:rFonts w:hint="default" w:ascii="仿宋" w:hAnsi="仿宋" w:eastAsia="仿宋" w:cs="Arial"/>
          <w:snapToGrid/>
          <w:kern w:val="2"/>
          <w:sz w:val="32"/>
          <w:szCs w:val="32"/>
          <w:lang w:eastAsia="zh-CN"/>
        </w:rPr>
        <w:t>日</w:t>
      </w:r>
    </w:p>
    <w:p w14:paraId="298B513D">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sectPr>
          <w:footerReference r:id="rId5" w:type="default"/>
          <w:pgSz w:w="11907" w:h="16839"/>
          <w:pgMar w:top="1429" w:right="1644" w:bottom="1151" w:left="1785" w:header="0" w:footer="0" w:gutter="0"/>
          <w:cols w:space="0" w:num="1"/>
          <w:rtlGutter w:val="0"/>
          <w:docGrid w:linePitch="0" w:charSpace="0"/>
        </w:sectPr>
      </w:pPr>
    </w:p>
    <w:p w14:paraId="09FA0C5B">
      <w:pPr>
        <w:pStyle w:val="2"/>
        <w:spacing w:line="289" w:lineRule="auto"/>
      </w:pPr>
    </w:p>
    <w:p w14:paraId="2EBDC507">
      <w:pPr>
        <w:pStyle w:val="2"/>
        <w:spacing w:line="290" w:lineRule="auto"/>
      </w:pPr>
    </w:p>
    <w:p w14:paraId="54E18977">
      <w:pPr>
        <w:spacing w:before="140" w:line="223" w:lineRule="auto"/>
        <w:ind w:left="3502"/>
        <w:outlineLvl w:val="0"/>
        <w:rPr>
          <w:rFonts w:ascii="仿宋" w:hAnsi="仿宋" w:eastAsia="仿宋" w:cs="仿宋"/>
          <w:sz w:val="43"/>
          <w:szCs w:val="43"/>
        </w:rPr>
      </w:pPr>
      <w:r>
        <w:rPr>
          <w:rFonts w:hint="eastAsia" w:ascii="仿宋" w:hAnsi="仿宋" w:eastAsia="仿宋" w:cs="Times New Roman"/>
          <w:snapToGrid/>
          <w:kern w:val="2"/>
          <w:sz w:val="44"/>
          <w:szCs w:val="22"/>
          <w:lang w:eastAsia="zh-CN"/>
        </w:rPr>
        <w:t>目   录</w:t>
      </w:r>
    </w:p>
    <w:p w14:paraId="0E51F134">
      <w:pPr>
        <w:pStyle w:val="2"/>
        <w:spacing w:line="341" w:lineRule="auto"/>
      </w:pPr>
    </w:p>
    <w:p w14:paraId="042A3E44">
      <w:pPr>
        <w:pStyle w:val="2"/>
        <w:spacing w:line="342" w:lineRule="auto"/>
      </w:pPr>
    </w:p>
    <w:p w14:paraId="505E08B0">
      <w:pPr>
        <w:spacing w:before="101" w:line="223"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第一部分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部门概况</w:t>
      </w:r>
    </w:p>
    <w:p w14:paraId="695E63D5">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一、部门职责</w:t>
      </w:r>
    </w:p>
    <w:p w14:paraId="27B671DC">
      <w:pPr>
        <w:spacing w:before="250" w:line="222"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二、机构设置及部门决算单位构成</w:t>
      </w:r>
    </w:p>
    <w:p w14:paraId="7554E58D">
      <w:pPr>
        <w:spacing w:before="250"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2"/>
          <w:sz w:val="31"/>
          <w:szCs w:val="31"/>
        </w:rPr>
        <w:t>第二部分</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b/>
          <w:bCs/>
          <w:spacing w:val="2"/>
          <w:sz w:val="31"/>
          <w:szCs w:val="31"/>
        </w:rPr>
        <w:t>2023</w:t>
      </w:r>
      <w:r>
        <w:rPr>
          <w:rFonts w:hint="default" w:ascii="Times New Roman" w:hAnsi="Times New Roman" w:eastAsia="仿宋_GB2312" w:cs="Times New Roman"/>
          <w:spacing w:val="-36"/>
          <w:sz w:val="31"/>
          <w:szCs w:val="31"/>
        </w:rPr>
        <w:t xml:space="preserve"> </w:t>
      </w:r>
      <w:r>
        <w:rPr>
          <w:rFonts w:hint="default" w:ascii="Times New Roman" w:hAnsi="Times New Roman" w:eastAsia="仿宋_GB2312" w:cs="Times New Roman"/>
          <w:b/>
          <w:bCs/>
          <w:spacing w:val="2"/>
          <w:sz w:val="31"/>
          <w:szCs w:val="31"/>
        </w:rPr>
        <w:t>年度部门决算表</w:t>
      </w:r>
    </w:p>
    <w:p w14:paraId="5F9BBEBE">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一、收入支出决算总表</w:t>
      </w:r>
    </w:p>
    <w:p w14:paraId="2AF51446">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二、收入决算表</w:t>
      </w:r>
    </w:p>
    <w:p w14:paraId="53CB2182">
      <w:pPr>
        <w:spacing w:before="249"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三、支出决算表</w:t>
      </w:r>
    </w:p>
    <w:p w14:paraId="55AF67B4">
      <w:pPr>
        <w:spacing w:before="250"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四、财政拨款收入支出决算总表</w:t>
      </w:r>
    </w:p>
    <w:p w14:paraId="0CDC769E">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五、一般公共预算财政拨款支出决算表</w:t>
      </w:r>
    </w:p>
    <w:p w14:paraId="578C2066">
      <w:pPr>
        <w:spacing w:before="250"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六、一般公共预算财政拨款基本支出决算明细表</w:t>
      </w:r>
    </w:p>
    <w:p w14:paraId="5B6DF298">
      <w:pPr>
        <w:spacing w:before="251"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七、政府性基金预算财政拨款收入支出决算表</w:t>
      </w:r>
    </w:p>
    <w:p w14:paraId="78AAA220">
      <w:pPr>
        <w:spacing w:before="252"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八、</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5"/>
          <w:sz w:val="31"/>
          <w:szCs w:val="31"/>
        </w:rPr>
        <w:t>国有资本经营预算财政拨款支出决算表</w:t>
      </w:r>
    </w:p>
    <w:p w14:paraId="667486A0">
      <w:pPr>
        <w:spacing w:before="249"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九、财政拨款“三公”经费支出决算表</w:t>
      </w:r>
    </w:p>
    <w:p w14:paraId="38F8D2DF">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十、部门预算项目支出绩效自评表</w:t>
      </w:r>
    </w:p>
    <w:p w14:paraId="775EC9DF">
      <w:pPr>
        <w:spacing w:before="249"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3"/>
          <w:sz w:val="31"/>
          <w:szCs w:val="31"/>
        </w:rPr>
        <w:t>第三部分</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b/>
          <w:bCs/>
          <w:spacing w:val="3"/>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b/>
          <w:bCs/>
          <w:spacing w:val="3"/>
          <w:sz w:val="31"/>
          <w:szCs w:val="31"/>
        </w:rPr>
        <w:t>年度部门决算情况说明</w:t>
      </w:r>
    </w:p>
    <w:p w14:paraId="4A3C9D5F">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一、收入支出决算总体情况说明</w:t>
      </w:r>
    </w:p>
    <w:p w14:paraId="7E4426B9">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二、收入决算情况说明</w:t>
      </w:r>
    </w:p>
    <w:p w14:paraId="35DD756D">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三、支出决算情况说明</w:t>
      </w:r>
    </w:p>
    <w:p w14:paraId="502F6486">
      <w:pPr>
        <w:spacing w:before="249"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四、财政拨款收入支出决算总体情况说明</w:t>
      </w:r>
    </w:p>
    <w:p w14:paraId="3535BE77">
      <w:pPr>
        <w:spacing w:line="223" w:lineRule="auto"/>
        <w:rPr>
          <w:rFonts w:hint="default" w:ascii="Times New Roman" w:hAnsi="Times New Roman" w:eastAsia="仿宋_GB2312" w:cs="Times New Roman"/>
          <w:sz w:val="31"/>
          <w:szCs w:val="31"/>
        </w:rPr>
        <w:sectPr>
          <w:footerReference r:id="rId6" w:type="default"/>
          <w:pgSz w:w="11907" w:h="16839"/>
          <w:pgMar w:top="1429" w:right="1644" w:bottom="1151" w:left="1785" w:header="0" w:footer="0" w:gutter="0"/>
          <w:cols w:space="0" w:num="1"/>
          <w:rtlGutter w:val="0"/>
          <w:docGrid w:linePitch="0" w:charSpace="0"/>
        </w:sectPr>
      </w:pPr>
    </w:p>
    <w:p w14:paraId="09096B2E">
      <w:pPr>
        <w:spacing w:before="15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20423D93">
      <w:pPr>
        <w:spacing w:before="249"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01AD14D6">
      <w:pPr>
        <w:spacing w:before="250"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七、政府性基金预算财政拨款收入支出决算情况说明</w:t>
      </w:r>
    </w:p>
    <w:p w14:paraId="3B474973">
      <w:pPr>
        <w:spacing w:before="251"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八、</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6"/>
          <w:sz w:val="31"/>
          <w:szCs w:val="31"/>
        </w:rPr>
        <w:t>国有资本经营预算财政拨款支出决算情况说明</w:t>
      </w:r>
    </w:p>
    <w:p w14:paraId="0B42567C">
      <w:pPr>
        <w:spacing w:before="250"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13844DD1">
      <w:pPr>
        <w:spacing w:before="249" w:line="224"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十、绩效评价情况说明</w:t>
      </w:r>
    </w:p>
    <w:p w14:paraId="64C8ED30">
      <w:pPr>
        <w:spacing w:before="248"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十一、其他重要事项情况说明</w:t>
      </w:r>
    </w:p>
    <w:p w14:paraId="2678F51F">
      <w:pPr>
        <w:spacing w:before="250" w:line="224"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第四部分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名词解释</w:t>
      </w:r>
    </w:p>
    <w:p w14:paraId="7CA52512">
      <w:pPr>
        <w:spacing w:line="224" w:lineRule="auto"/>
        <w:rPr>
          <w:rFonts w:hint="default" w:ascii="Times New Roman" w:hAnsi="Times New Roman" w:eastAsia="仿宋_GB2312" w:cs="Times New Roman"/>
          <w:sz w:val="31"/>
          <w:szCs w:val="31"/>
        </w:rPr>
        <w:sectPr>
          <w:footerReference r:id="rId7" w:type="default"/>
          <w:pgSz w:w="11907" w:h="16839"/>
          <w:pgMar w:top="1429" w:right="1644" w:bottom="1151" w:left="1785" w:header="0" w:footer="0" w:gutter="0"/>
          <w:cols w:space="0" w:num="1"/>
          <w:rtlGutter w:val="0"/>
          <w:docGrid w:linePitch="0" w:charSpace="0"/>
        </w:sectPr>
      </w:pPr>
    </w:p>
    <w:p w14:paraId="795F8373">
      <w:pPr>
        <w:pStyle w:val="2"/>
        <w:spacing w:line="328" w:lineRule="auto"/>
      </w:pPr>
    </w:p>
    <w:p w14:paraId="61A1CE23">
      <w:pPr>
        <w:pStyle w:val="2"/>
        <w:spacing w:line="328" w:lineRule="auto"/>
      </w:pPr>
    </w:p>
    <w:p w14:paraId="3FE1DFED">
      <w:pPr>
        <w:spacing w:before="189" w:line="443" w:lineRule="exact"/>
        <w:ind w:left="2215"/>
        <w:outlineLvl w:val="0"/>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pacing w:val="1"/>
          <w:position w:val="-2"/>
          <w:sz w:val="44"/>
          <w:szCs w:val="44"/>
        </w:rPr>
        <w:t>第一部分</w:t>
      </w:r>
      <w:r>
        <w:rPr>
          <w:rFonts w:hint="default" w:ascii="Times New Roman" w:hAnsi="Times New Roman" w:eastAsia="仿宋_GB2312" w:cs="Times New Roman"/>
          <w:b/>
          <w:bCs/>
          <w:spacing w:val="14"/>
          <w:position w:val="-2"/>
          <w:sz w:val="44"/>
          <w:szCs w:val="44"/>
        </w:rPr>
        <w:t xml:space="preserve">   </w:t>
      </w:r>
      <w:r>
        <w:rPr>
          <w:rFonts w:hint="default" w:ascii="Times New Roman" w:hAnsi="Times New Roman" w:eastAsia="仿宋_GB2312" w:cs="Times New Roman"/>
          <w:b/>
          <w:bCs/>
          <w:spacing w:val="1"/>
          <w:position w:val="-2"/>
          <w:sz w:val="44"/>
          <w:szCs w:val="44"/>
        </w:rPr>
        <w:t>部门概况</w:t>
      </w:r>
    </w:p>
    <w:p w14:paraId="4BCEF999">
      <w:pPr>
        <w:pStyle w:val="2"/>
        <w:spacing w:line="314" w:lineRule="auto"/>
        <w:rPr>
          <w:rFonts w:hint="default" w:ascii="Times New Roman" w:hAnsi="Times New Roman" w:eastAsia="仿宋_GB2312" w:cs="Times New Roman"/>
        </w:rPr>
      </w:pPr>
    </w:p>
    <w:p w14:paraId="6E9048C6">
      <w:pPr>
        <w:pStyle w:val="2"/>
        <w:spacing w:line="314" w:lineRule="auto"/>
        <w:rPr>
          <w:rFonts w:hint="default" w:ascii="Times New Roman" w:hAnsi="Times New Roman" w:eastAsia="仿宋_GB2312" w:cs="Times New Roman"/>
        </w:rPr>
      </w:pPr>
    </w:p>
    <w:p w14:paraId="2D96F774">
      <w:pPr>
        <w:pStyle w:val="2"/>
        <w:spacing w:line="315" w:lineRule="auto"/>
        <w:rPr>
          <w:rFonts w:hint="default" w:ascii="Times New Roman" w:hAnsi="Times New Roman" w:eastAsia="仿宋_GB2312" w:cs="Times New Roman"/>
        </w:rPr>
      </w:pPr>
    </w:p>
    <w:p w14:paraId="682887A3">
      <w:pPr>
        <w:spacing w:before="101" w:line="224" w:lineRule="auto"/>
        <w:ind w:left="751"/>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一、部门主要职责</w:t>
      </w:r>
    </w:p>
    <w:p w14:paraId="654FA0BA">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12"/>
          <w:sz w:val="31"/>
          <w:szCs w:val="31"/>
          <w:lang w:val="en-US" w:eastAsia="zh-CN"/>
        </w:rPr>
        <w:t xml:space="preserve">     </w:t>
      </w:r>
      <w:r>
        <w:rPr>
          <w:rFonts w:hint="eastAsia" w:ascii="Times New Roman" w:hAnsi="Times New Roman" w:eastAsia="仿宋_GB2312" w:cs="Times New Roman"/>
          <w:spacing w:val="6"/>
          <w:sz w:val="31"/>
          <w:szCs w:val="31"/>
          <w:lang w:val="en-US" w:eastAsia="zh-CN"/>
        </w:rPr>
        <w:t xml:space="preserve">  (一)负责全市党的纪律检査工作。贯彻落实上级党委、纪委和榆树市委关于纪律检查工作的决策部署，维护党的章程和其他党内法规，检查党的路线方针政策和决议的执行情况，协助市委推进全面从严治党、加强党风建设和组织协调反腐败工作。</w:t>
      </w:r>
    </w:p>
    <w:p w14:paraId="104413A2">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二)依照党的章程和其他党内法规履行监督、执纪、问责职责。负责经常对全市党员进行遵守纪律的教育，作出关于维护党纪的决定;对全市各党委(党工委、党组)、纪委(纪工委、纪检组)及市委管理的党员领导干部履行职责、行使权力进行监督，受理处置党员群众检举举报，开展谈话提醒、约谈函询;检查和处理上述党的组织和党员违反党的章程和其他党内法规的比较重要或复杂的案件，决定或取消对这些案件中的党员的处分;进行问责或提出责任追究的建议;受理党员的控告和申诉，保障党员的权利。</w:t>
      </w:r>
    </w:p>
    <w:p w14:paraId="30144378">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(三)配合市委巡察工作领导小组，对市委开展的巡察工作进行指导，联系市委巡察工作办公室。</w:t>
      </w:r>
    </w:p>
    <w:p w14:paraId="6BE0FE43">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(四)负责全市监察工作。贯彻落实上级党委、监委和榆树市委关于监察工作的决策部署，维护宪法法律，依法对行使公权力的公职人员进行监察，调查职务违法和职务犯罪，开展廉政建设和反腐败工作。</w:t>
      </w:r>
    </w:p>
    <w:p w14:paraId="1BD91F30">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五)依照法律规定履行监督、调査、处置职责。推动开展廉政教育，对行使公权力的公职人员依法履职、秉公用权、廉洁从政从业以及道德操守情况进行监督检査;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査结果移送人民检察院依法审查提起公诉;向监察对象所在单位提出监察建议。</w:t>
      </w:r>
    </w:p>
    <w:p w14:paraId="229B8FD2">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(六)负责组织协调全面从严治党、党风廉政建设和反腐败宣传教育工作。</w:t>
      </w:r>
    </w:p>
    <w:p w14:paraId="5192D0ED">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七)负责综合分析全市全面从严治党、党风廉政建设和反腐败工作情况，对纪检监察工作重要理论及实践问题进行调查研究;制定或修改纪检监察规章制度，参与起草或制定本市有关全面从严治党、党风廉政建设和反腐败工作的规范性文件。</w:t>
      </w:r>
    </w:p>
    <w:p w14:paraId="6B5DDD64">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(八)负责市委反腐败协调小组办公室工作，组织协调反腐败追逃追赃和防逃工作、督促有关单位做好相关工作;综合分析外逃人员情况，统筹制定工作计划。</w:t>
      </w:r>
    </w:p>
    <w:p w14:paraId="42446829">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eastAsia"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九)根据干部管理权限，负责全市纪检监察系统领导班子建设、干部队伍建设和组织建设的综合规划、政策研究、制度建设和业务指导;会同有关方面做好市纪委市监委派驻(派出)机构、市委巡察工作办公室、基层纪检组织领导班子建设有关工作组织和指导全市纪检监察系统干部教育培训工作。</w:t>
      </w:r>
    </w:p>
    <w:p w14:paraId="01113A6D">
      <w:pPr>
        <w:keepNext w:val="0"/>
        <w:keepLines w:val="0"/>
        <w:pageBreakBefore w:val="0"/>
        <w:widowControl/>
        <w:kinsoku/>
        <w:wordWrap/>
        <w:overflowPunct/>
        <w:topLinePunct w:val="0"/>
        <w:autoSpaceDE/>
        <w:autoSpaceDN/>
        <w:bidi w:val="0"/>
        <w:adjustRightInd w:val="0"/>
        <w:snapToGrid w:val="0"/>
        <w:spacing w:line="560" w:lineRule="atLeast"/>
        <w:ind w:left="0" w:right="0"/>
        <w:jc w:val="left"/>
        <w:textAlignment w:val="baseline"/>
        <w:rPr>
          <w:rFonts w:hint="default" w:ascii="Times New Roman" w:hAnsi="Times New Roman" w:eastAsia="仿宋_GB2312" w:cs="Times New Roman"/>
          <w:sz w:val="31"/>
          <w:szCs w:val="31"/>
        </w:rPr>
      </w:pPr>
      <w:r>
        <w:rPr>
          <w:rFonts w:hint="eastAsia" w:ascii="Times New Roman" w:hAnsi="Times New Roman" w:eastAsia="仿宋_GB2312" w:cs="Times New Roman"/>
          <w:spacing w:val="6"/>
          <w:sz w:val="31"/>
          <w:szCs w:val="31"/>
          <w:lang w:val="en-US" w:eastAsia="zh-CN"/>
        </w:rPr>
        <w:t>　　(十)完成上级纪委监委和榆树市委交办的其他任务。</w:t>
      </w:r>
    </w:p>
    <w:p w14:paraId="20DF1B06">
      <w:pPr>
        <w:spacing w:before="251"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二、机构设置及部门决算单位构成</w:t>
      </w:r>
    </w:p>
    <w:p w14:paraId="3F18C4D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560" w:lineRule="atLeast"/>
        <w:ind w:left="0" w:right="0" w:firstLine="0"/>
        <w:jc w:val="both"/>
        <w:textAlignment w:val="baseline"/>
        <w:rPr>
          <w:rFonts w:hint="eastAsia" w:ascii="Times New Roman" w:hAnsi="Times New Roman" w:eastAsia="仿宋_GB2312" w:cs="Times New Roman"/>
          <w:snapToGrid w:val="0"/>
          <w:color w:val="000000"/>
          <w:spacing w:val="6"/>
          <w:kern w:val="0"/>
          <w:sz w:val="31"/>
          <w:szCs w:val="31"/>
          <w:lang w:val="en-US" w:eastAsia="zh-CN" w:bidi="ar-SA"/>
        </w:rPr>
      </w:pPr>
      <w:r>
        <w:rPr>
          <w:rFonts w:hint="eastAsia" w:ascii="仿宋" w:hAnsi="仿宋" w:eastAsia="仿宋" w:cs="仿宋"/>
          <w:i w:val="0"/>
          <w:iCs w:val="0"/>
          <w:caps w:val="0"/>
          <w:color w:val="auto"/>
          <w:spacing w:val="0"/>
          <w:sz w:val="32"/>
          <w:szCs w:val="32"/>
          <w:highlight w:val="none"/>
          <w:shd w:val="clear" w:color="auto" w:fill="FFFFFF"/>
        </w:rPr>
        <w:t>　</w:t>
      </w:r>
      <w:r>
        <w:rPr>
          <w:rFonts w:hint="eastAsia" w:ascii="仿宋" w:hAnsi="仿宋" w:eastAsia="仿宋" w:cs="仿宋"/>
          <w:i w:val="0"/>
          <w:iCs w:val="0"/>
          <w:caps w:val="0"/>
          <w:color w:val="auto"/>
          <w:spacing w:val="0"/>
          <w:sz w:val="32"/>
          <w:szCs w:val="32"/>
          <w:highlight w:val="none"/>
          <w:shd w:val="clear" w:color="auto" w:fill="FFFFFF"/>
          <w:lang w:val="en-US" w:eastAsia="zh-CN"/>
        </w:rPr>
        <w:t xml:space="preserve">  </w:t>
      </w:r>
      <w:r>
        <w:rPr>
          <w:rFonts w:hint="eastAsia" w:ascii="Times New Roman" w:hAnsi="Times New Roman" w:eastAsia="仿宋_GB2312" w:cs="Times New Roman"/>
          <w:snapToGrid w:val="0"/>
          <w:color w:val="000000"/>
          <w:spacing w:val="6"/>
          <w:kern w:val="0"/>
          <w:sz w:val="31"/>
          <w:szCs w:val="31"/>
          <w:lang w:val="en-US" w:eastAsia="zh-CN" w:bidi="ar-SA"/>
        </w:rPr>
        <w:t>根据上述职责，中国共产党榆树市纪律检查委员会内设18个机构，分别为办公室、组织部（干部监督室）、宣传部（研究室）、党风政风监督室、信访室、案件监督管理室、第一至第十纪检监察室、案件审理室（申诉复查办公室、法规室）、机关党总支。此外，还设有2个直属事业单位即党风政风监督举报中心、纪检电教网络信息中心。</w:t>
      </w:r>
    </w:p>
    <w:p w14:paraId="1EFB3E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560" w:lineRule="atLeast"/>
        <w:ind w:left="0" w:right="0" w:firstLine="0"/>
        <w:textAlignment w:val="baseline"/>
        <w:rPr>
          <w:rFonts w:hint="eastAsia" w:ascii="Times New Roman" w:hAnsi="Times New Roman" w:eastAsia="仿宋_GB2312" w:cs="Times New Roman"/>
          <w:snapToGrid w:val="0"/>
          <w:color w:val="000000"/>
          <w:spacing w:val="6"/>
          <w:kern w:val="0"/>
          <w:sz w:val="31"/>
          <w:szCs w:val="31"/>
          <w:lang w:val="en-US" w:eastAsia="zh-CN" w:bidi="ar-SA"/>
        </w:rPr>
      </w:pPr>
      <w:r>
        <w:rPr>
          <w:rFonts w:hint="eastAsia" w:ascii="Times New Roman" w:hAnsi="Times New Roman" w:eastAsia="仿宋_GB2312" w:cs="Times New Roman"/>
          <w:snapToGrid w:val="0"/>
          <w:color w:val="000000"/>
          <w:spacing w:val="6"/>
          <w:kern w:val="0"/>
          <w:sz w:val="31"/>
          <w:szCs w:val="31"/>
          <w:lang w:val="en-US" w:eastAsia="zh-CN" w:bidi="ar-SA"/>
        </w:rPr>
        <w:t>　　纳入中国共产党榆树市纪律检查委员会2023年度部门决算编制范围的单位包括：</w:t>
      </w:r>
    </w:p>
    <w:p w14:paraId="1099398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560" w:lineRule="atLeast"/>
        <w:ind w:left="0" w:right="0" w:firstLine="0"/>
        <w:textAlignment w:val="baseline"/>
        <w:rPr>
          <w:rFonts w:hint="eastAsia" w:ascii="Times New Roman" w:hAnsi="Times New Roman" w:eastAsia="仿宋_GB2312" w:cs="Times New Roman"/>
          <w:snapToGrid w:val="0"/>
          <w:color w:val="000000"/>
          <w:spacing w:val="6"/>
          <w:kern w:val="0"/>
          <w:sz w:val="31"/>
          <w:szCs w:val="31"/>
          <w:lang w:val="en-US" w:eastAsia="zh-CN" w:bidi="ar-SA"/>
        </w:rPr>
      </w:pPr>
      <w:r>
        <w:rPr>
          <w:rFonts w:hint="eastAsia" w:ascii="Times New Roman" w:hAnsi="Times New Roman" w:eastAsia="仿宋_GB2312" w:cs="Times New Roman"/>
          <w:snapToGrid w:val="0"/>
          <w:color w:val="000000"/>
          <w:spacing w:val="6"/>
          <w:kern w:val="0"/>
          <w:sz w:val="31"/>
          <w:szCs w:val="31"/>
          <w:lang w:val="en-US" w:eastAsia="zh-CN" w:bidi="ar-SA"/>
        </w:rPr>
        <w:t>　　1中国共产党榆树市纪律检查委员会本级</w:t>
      </w:r>
    </w:p>
    <w:p w14:paraId="29916C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560" w:lineRule="atLeast"/>
        <w:ind w:left="0" w:right="0" w:firstLine="0"/>
        <w:textAlignment w:val="baseline"/>
        <w:rPr>
          <w:rFonts w:hint="eastAsia" w:ascii="Times New Roman" w:hAnsi="Times New Roman" w:eastAsia="仿宋_GB2312" w:cs="Times New Roman"/>
          <w:snapToGrid w:val="0"/>
          <w:color w:val="000000"/>
          <w:spacing w:val="6"/>
          <w:kern w:val="0"/>
          <w:sz w:val="31"/>
          <w:szCs w:val="31"/>
          <w:lang w:val="en-US" w:eastAsia="zh-CN" w:bidi="ar-SA"/>
        </w:rPr>
      </w:pPr>
      <w:r>
        <w:rPr>
          <w:rFonts w:hint="eastAsia" w:ascii="Times New Roman" w:hAnsi="Times New Roman" w:eastAsia="仿宋_GB2312" w:cs="Times New Roman"/>
          <w:snapToGrid w:val="0"/>
          <w:color w:val="000000"/>
          <w:spacing w:val="6"/>
          <w:kern w:val="0"/>
          <w:sz w:val="31"/>
          <w:szCs w:val="31"/>
          <w:lang w:val="en-US" w:eastAsia="zh-CN" w:bidi="ar-SA"/>
        </w:rPr>
        <w:t>　　2.榆树市监察委员会</w:t>
      </w:r>
    </w:p>
    <w:p w14:paraId="1E97F7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560" w:lineRule="atLeast"/>
        <w:ind w:left="0" w:right="0" w:firstLine="0"/>
        <w:textAlignment w:val="baseline"/>
        <w:rPr>
          <w:rFonts w:hint="eastAsia" w:ascii="Times New Roman" w:hAnsi="Times New Roman" w:eastAsia="仿宋_GB2312" w:cs="Times New Roman"/>
          <w:snapToGrid w:val="0"/>
          <w:color w:val="000000"/>
          <w:spacing w:val="6"/>
          <w:kern w:val="0"/>
          <w:sz w:val="31"/>
          <w:szCs w:val="31"/>
          <w:lang w:val="en-US" w:eastAsia="zh-CN" w:bidi="ar-SA"/>
        </w:rPr>
      </w:pPr>
      <w:r>
        <w:rPr>
          <w:rFonts w:hint="eastAsia" w:ascii="Times New Roman" w:hAnsi="Times New Roman" w:eastAsia="仿宋_GB2312" w:cs="Times New Roman"/>
          <w:snapToGrid w:val="0"/>
          <w:color w:val="000000"/>
          <w:spacing w:val="6"/>
          <w:kern w:val="0"/>
          <w:sz w:val="31"/>
          <w:szCs w:val="31"/>
          <w:lang w:val="en-US" w:eastAsia="zh-CN" w:bidi="ar-SA"/>
        </w:rPr>
        <w:t>　　3.榆树市委巡察工作办公室</w:t>
      </w:r>
    </w:p>
    <w:p w14:paraId="73E1BABE">
      <w:pPr>
        <w:pStyle w:val="2"/>
        <w:spacing w:line="446" w:lineRule="auto"/>
        <w:rPr>
          <w:rFonts w:hint="default" w:ascii="Times New Roman" w:hAnsi="Times New Roman" w:eastAsia="仿宋_GB2312" w:cs="Times New Roman"/>
        </w:rPr>
      </w:pPr>
    </w:p>
    <w:p w14:paraId="7516051F">
      <w:pPr>
        <w:spacing w:line="355" w:lineRule="auto"/>
        <w:rPr>
          <w:rFonts w:hint="default" w:ascii="Times New Roman" w:hAnsi="Times New Roman" w:eastAsia="仿宋_GB2312" w:cs="Times New Roman"/>
          <w:sz w:val="31"/>
          <w:szCs w:val="31"/>
        </w:rPr>
        <w:sectPr>
          <w:footerReference r:id="rId8" w:type="default"/>
          <w:pgSz w:w="11907" w:h="16839"/>
          <w:pgMar w:top="1429" w:right="1644" w:bottom="1151" w:left="1785" w:header="0" w:footer="0" w:gutter="0"/>
          <w:cols w:space="0" w:num="1"/>
          <w:rtlGutter w:val="0"/>
          <w:docGrid w:linePitch="0" w:charSpace="0"/>
        </w:sectPr>
      </w:pPr>
    </w:p>
    <w:p w14:paraId="5B5B469C">
      <w:pPr>
        <w:pStyle w:val="2"/>
        <w:spacing w:line="328" w:lineRule="auto"/>
        <w:rPr>
          <w:rFonts w:hint="default" w:ascii="Times New Roman" w:hAnsi="Times New Roman" w:eastAsia="仿宋_GB2312" w:cs="Times New Roman"/>
        </w:rPr>
      </w:pPr>
    </w:p>
    <w:p w14:paraId="2DDD33E7">
      <w:pPr>
        <w:pStyle w:val="2"/>
        <w:spacing w:line="328" w:lineRule="auto"/>
        <w:rPr>
          <w:rFonts w:hint="default" w:ascii="Times New Roman" w:hAnsi="Times New Roman" w:eastAsia="仿宋_GB2312" w:cs="Times New Roman"/>
        </w:rPr>
      </w:pPr>
    </w:p>
    <w:p w14:paraId="06DBAE15">
      <w:pPr>
        <w:spacing w:before="189" w:line="186" w:lineRule="auto"/>
        <w:ind w:left="1142"/>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第二部分</w:t>
      </w:r>
      <w:r>
        <w:rPr>
          <w:rFonts w:hint="default" w:ascii="Times New Roman" w:hAnsi="Times New Roman" w:eastAsia="仿宋_GB2312" w:cs="Times New Roman"/>
          <w:b/>
          <w:bCs/>
          <w:spacing w:val="111"/>
          <w:sz w:val="44"/>
          <w:szCs w:val="44"/>
        </w:rPr>
        <w:t xml:space="preserve"> </w:t>
      </w:r>
      <w:r>
        <w:rPr>
          <w:rFonts w:hint="default" w:ascii="Times New Roman" w:hAnsi="Times New Roman" w:eastAsia="仿宋_GB2312" w:cs="Times New Roman"/>
          <w:b/>
          <w:bCs/>
          <w:sz w:val="43"/>
          <w:szCs w:val="43"/>
        </w:rPr>
        <w:t>2023</w:t>
      </w:r>
      <w:r>
        <w:rPr>
          <w:rFonts w:hint="default" w:ascii="Times New Roman" w:hAnsi="Times New Roman" w:eastAsia="仿宋_GB2312" w:cs="Times New Roman"/>
          <w:b/>
          <w:bCs/>
          <w:spacing w:val="-103"/>
          <w:sz w:val="43"/>
          <w:szCs w:val="43"/>
        </w:rPr>
        <w:t xml:space="preserve"> </w:t>
      </w:r>
      <w:r>
        <w:rPr>
          <w:rFonts w:hint="default" w:ascii="Times New Roman" w:hAnsi="Times New Roman" w:eastAsia="仿宋_GB2312" w:cs="Times New Roman"/>
          <w:b/>
          <w:bCs/>
          <w:sz w:val="44"/>
          <w:szCs w:val="44"/>
        </w:rPr>
        <w:t>年度部门决算表</w:t>
      </w:r>
    </w:p>
    <w:p w14:paraId="0BF5B617">
      <w:pPr>
        <w:pStyle w:val="2"/>
        <w:spacing w:line="268" w:lineRule="auto"/>
        <w:rPr>
          <w:rFonts w:hint="default" w:ascii="Times New Roman" w:hAnsi="Times New Roman" w:eastAsia="仿宋_GB2312" w:cs="Times New Roman"/>
        </w:rPr>
      </w:pPr>
    </w:p>
    <w:p w14:paraId="4B8502A0">
      <w:pPr>
        <w:pStyle w:val="2"/>
        <w:spacing w:line="268" w:lineRule="auto"/>
        <w:rPr>
          <w:rFonts w:hint="default" w:ascii="Times New Roman" w:hAnsi="Times New Roman" w:eastAsia="仿宋_GB2312" w:cs="Times New Roman"/>
        </w:rPr>
      </w:pPr>
    </w:p>
    <w:p w14:paraId="23832D98">
      <w:pPr>
        <w:pStyle w:val="2"/>
        <w:spacing w:line="268" w:lineRule="auto"/>
        <w:rPr>
          <w:rFonts w:hint="default" w:ascii="Times New Roman" w:hAnsi="Times New Roman" w:eastAsia="仿宋_GB2312" w:cs="Times New Roman"/>
        </w:rPr>
      </w:pPr>
    </w:p>
    <w:p w14:paraId="60F0DF6E">
      <w:pPr>
        <w:numPr>
          <w:ilvl w:val="0"/>
          <w:numId w:val="1"/>
        </w:numPr>
        <w:spacing w:before="100" w:line="224" w:lineRule="auto"/>
        <w:ind w:left="672"/>
        <w:rPr>
          <w:rFonts w:hint="default" w:ascii="Times New Roman" w:hAnsi="Times New Roman" w:eastAsia="仿宋_GB2312" w:cs="Times New Roman"/>
          <w:b/>
          <w:bCs/>
          <w:spacing w:val="7"/>
          <w:sz w:val="31"/>
          <w:szCs w:val="31"/>
        </w:rPr>
      </w:pPr>
      <w:r>
        <w:rPr>
          <w:rFonts w:hint="default" w:ascii="Times New Roman" w:hAnsi="Times New Roman" w:eastAsia="仿宋_GB2312" w:cs="Times New Roman"/>
          <w:b/>
          <w:bCs/>
          <w:spacing w:val="7"/>
          <w:sz w:val="31"/>
          <w:szCs w:val="31"/>
        </w:rPr>
        <w:t>收入支出决算总表</w:t>
      </w:r>
    </w:p>
    <w:p w14:paraId="25D23B27">
      <w:pPr>
        <w:numPr>
          <w:ilvl w:val="0"/>
          <w:numId w:val="0"/>
        </w:numPr>
        <w:spacing w:before="100" w:line="224" w:lineRule="auto"/>
        <w:rPr>
          <w:rFonts w:hint="eastAsia" w:ascii="Times New Roman" w:hAnsi="Times New Roman" w:eastAsia="仿宋_GB2312" w:cs="Times New Roman"/>
          <w:b/>
          <w:bCs/>
          <w:spacing w:val="7"/>
          <w:sz w:val="31"/>
          <w:szCs w:val="31"/>
          <w:lang w:eastAsia="zh-CN"/>
        </w:rPr>
      </w:pPr>
      <w:r>
        <w:drawing>
          <wp:inline distT="0" distB="0" distL="114300" distR="114300">
            <wp:extent cx="5288280" cy="5388610"/>
            <wp:effectExtent l="0" t="0" r="7620" b="254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9"/>
                    <a:stretch>
                      <a:fillRect/>
                    </a:stretch>
                  </pic:blipFill>
                  <pic:spPr>
                    <a:xfrm>
                      <a:off x="0" y="0"/>
                      <a:ext cx="5288280" cy="5388610"/>
                    </a:xfrm>
                    <a:prstGeom prst="rect">
                      <a:avLst/>
                    </a:prstGeom>
                    <a:noFill/>
                    <a:ln>
                      <a:noFill/>
                    </a:ln>
                  </pic:spPr>
                </pic:pic>
              </a:graphicData>
            </a:graphic>
          </wp:inline>
        </w:drawing>
      </w:r>
    </w:p>
    <w:p w14:paraId="3AFC3706">
      <w:pPr>
        <w:pStyle w:val="2"/>
        <w:spacing w:line="337" w:lineRule="auto"/>
        <w:rPr>
          <w:rFonts w:hint="default" w:ascii="Times New Roman" w:hAnsi="Times New Roman" w:eastAsia="仿宋_GB2312" w:cs="Times New Roman"/>
        </w:rPr>
      </w:pPr>
    </w:p>
    <w:p w14:paraId="7033F379">
      <w:pPr>
        <w:pStyle w:val="2"/>
        <w:spacing w:line="338" w:lineRule="auto"/>
        <w:rPr>
          <w:rFonts w:hint="default" w:ascii="Times New Roman" w:hAnsi="Times New Roman" w:eastAsia="仿宋_GB2312" w:cs="Times New Roman"/>
        </w:rPr>
      </w:pPr>
    </w:p>
    <w:p w14:paraId="02D708E2">
      <w:pPr>
        <w:pStyle w:val="2"/>
        <w:spacing w:line="339" w:lineRule="auto"/>
        <w:rPr>
          <w:rFonts w:hint="default" w:ascii="Times New Roman" w:hAnsi="Times New Roman" w:eastAsia="仿宋_GB2312" w:cs="Times New Roman"/>
        </w:rPr>
      </w:pPr>
    </w:p>
    <w:p w14:paraId="1ECB92A4">
      <w:pPr>
        <w:pStyle w:val="2"/>
        <w:spacing w:line="339" w:lineRule="auto"/>
        <w:rPr>
          <w:rFonts w:hint="default" w:ascii="Times New Roman" w:hAnsi="Times New Roman" w:eastAsia="仿宋_GB2312" w:cs="Times New Roman"/>
        </w:rPr>
      </w:pPr>
    </w:p>
    <w:p w14:paraId="731134EE">
      <w:pPr>
        <w:pStyle w:val="2"/>
        <w:spacing w:line="339" w:lineRule="auto"/>
        <w:rPr>
          <w:rFonts w:hint="default" w:ascii="Times New Roman" w:hAnsi="Times New Roman" w:eastAsia="仿宋_GB2312" w:cs="Times New Roman"/>
        </w:rPr>
      </w:pPr>
    </w:p>
    <w:p w14:paraId="686E5E2B">
      <w:pPr>
        <w:pStyle w:val="2"/>
        <w:spacing w:line="339" w:lineRule="auto"/>
        <w:rPr>
          <w:rFonts w:hint="default" w:ascii="Times New Roman" w:hAnsi="Times New Roman" w:eastAsia="仿宋_GB2312" w:cs="Times New Roman"/>
        </w:rPr>
      </w:pPr>
    </w:p>
    <w:p w14:paraId="12BF0DF9">
      <w:pPr>
        <w:pStyle w:val="2"/>
        <w:spacing w:line="339" w:lineRule="auto"/>
        <w:rPr>
          <w:rFonts w:hint="default" w:ascii="Times New Roman" w:hAnsi="Times New Roman" w:eastAsia="仿宋_GB2312" w:cs="Times New Roman"/>
        </w:rPr>
      </w:pPr>
    </w:p>
    <w:p w14:paraId="4C0E1095">
      <w:pPr>
        <w:pStyle w:val="2"/>
        <w:spacing w:line="340" w:lineRule="auto"/>
        <w:rPr>
          <w:rFonts w:hint="default" w:ascii="Times New Roman" w:hAnsi="Times New Roman" w:eastAsia="仿宋_GB2312" w:cs="Times New Roman"/>
        </w:rPr>
      </w:pPr>
    </w:p>
    <w:p w14:paraId="1590FF37">
      <w:pPr>
        <w:numPr>
          <w:ilvl w:val="0"/>
          <w:numId w:val="1"/>
        </w:numPr>
        <w:spacing w:before="101" w:line="224" w:lineRule="auto"/>
        <w:ind w:left="672" w:leftChars="0" w:firstLine="0" w:firstLineChars="0"/>
        <w:rPr>
          <w:rFonts w:hint="default" w:ascii="Times New Roman" w:hAnsi="Times New Roman" w:eastAsia="仿宋_GB2312" w:cs="Times New Roman"/>
          <w:b/>
          <w:bCs/>
          <w:spacing w:val="7"/>
          <w:sz w:val="31"/>
          <w:szCs w:val="31"/>
        </w:rPr>
      </w:pPr>
      <w:r>
        <w:rPr>
          <w:rFonts w:hint="default" w:ascii="Times New Roman" w:hAnsi="Times New Roman" w:eastAsia="仿宋_GB2312" w:cs="Times New Roman"/>
          <w:b/>
          <w:bCs/>
          <w:spacing w:val="7"/>
          <w:sz w:val="31"/>
          <w:szCs w:val="31"/>
        </w:rPr>
        <w:t>收入决算表</w:t>
      </w:r>
    </w:p>
    <w:p w14:paraId="73107B0C">
      <w:pPr>
        <w:numPr>
          <w:ilvl w:val="0"/>
          <w:numId w:val="0"/>
        </w:numPr>
        <w:spacing w:before="101" w:line="224" w:lineRule="auto"/>
        <w:ind w:left="451" w:leftChars="0" w:hanging="451" w:hangingChars="215"/>
      </w:pPr>
    </w:p>
    <w:p w14:paraId="0D027314">
      <w:pPr>
        <w:numPr>
          <w:ilvl w:val="0"/>
          <w:numId w:val="0"/>
        </w:numPr>
        <w:spacing w:before="101" w:line="224" w:lineRule="auto"/>
        <w:ind w:left="451" w:leftChars="0" w:hanging="451" w:hangingChars="215"/>
      </w:pPr>
    </w:p>
    <w:p w14:paraId="5757C736">
      <w:pPr>
        <w:numPr>
          <w:ilvl w:val="0"/>
          <w:numId w:val="0"/>
        </w:numPr>
        <w:spacing w:before="101" w:line="224" w:lineRule="auto"/>
        <w:ind w:left="451" w:leftChars="0" w:hanging="451" w:hangingChars="215"/>
        <w:rPr>
          <w:rFonts w:hint="default" w:ascii="Times New Roman" w:hAnsi="Times New Roman" w:eastAsia="仿宋_GB2312" w:cs="Times New Roman"/>
          <w:b/>
          <w:bCs/>
          <w:spacing w:val="7"/>
          <w:sz w:val="31"/>
          <w:szCs w:val="31"/>
        </w:rPr>
      </w:pPr>
      <w:r>
        <w:drawing>
          <wp:inline distT="0" distB="0" distL="114300" distR="114300">
            <wp:extent cx="5293360" cy="3388360"/>
            <wp:effectExtent l="0" t="0" r="2540" b="254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20"/>
                    <a:stretch>
                      <a:fillRect/>
                    </a:stretch>
                  </pic:blipFill>
                  <pic:spPr>
                    <a:xfrm>
                      <a:off x="0" y="0"/>
                      <a:ext cx="5293360" cy="3388360"/>
                    </a:xfrm>
                    <a:prstGeom prst="rect">
                      <a:avLst/>
                    </a:prstGeom>
                    <a:noFill/>
                    <a:ln>
                      <a:noFill/>
                    </a:ln>
                  </pic:spPr>
                </pic:pic>
              </a:graphicData>
            </a:graphic>
          </wp:inline>
        </w:drawing>
      </w:r>
    </w:p>
    <w:p w14:paraId="7793A258">
      <w:pPr>
        <w:pStyle w:val="2"/>
        <w:spacing w:line="261" w:lineRule="auto"/>
        <w:rPr>
          <w:rFonts w:hint="default" w:ascii="Times New Roman" w:hAnsi="Times New Roman" w:eastAsia="仿宋_GB2312" w:cs="Times New Roman"/>
        </w:rPr>
      </w:pPr>
    </w:p>
    <w:p w14:paraId="228AB7FC">
      <w:pPr>
        <w:pStyle w:val="2"/>
        <w:spacing w:line="261" w:lineRule="auto"/>
        <w:rPr>
          <w:rFonts w:hint="default" w:ascii="Times New Roman" w:hAnsi="Times New Roman" w:eastAsia="仿宋_GB2312" w:cs="Times New Roman"/>
        </w:rPr>
      </w:pPr>
    </w:p>
    <w:p w14:paraId="70AEB064">
      <w:pPr>
        <w:pStyle w:val="2"/>
        <w:spacing w:line="262" w:lineRule="auto"/>
        <w:rPr>
          <w:rFonts w:hint="default" w:ascii="Times New Roman" w:hAnsi="Times New Roman" w:eastAsia="仿宋_GB2312" w:cs="Times New Roman"/>
        </w:rPr>
      </w:pPr>
    </w:p>
    <w:p w14:paraId="14D0A2B7">
      <w:pPr>
        <w:pStyle w:val="2"/>
        <w:spacing w:line="339" w:lineRule="auto"/>
        <w:rPr>
          <w:rFonts w:hint="default" w:ascii="Times New Roman" w:hAnsi="Times New Roman" w:eastAsia="仿宋_GB2312" w:cs="Times New Roman"/>
        </w:rPr>
      </w:pPr>
    </w:p>
    <w:p w14:paraId="19950022">
      <w:pPr>
        <w:pStyle w:val="2"/>
        <w:spacing w:line="339" w:lineRule="auto"/>
        <w:rPr>
          <w:rFonts w:hint="default" w:ascii="Times New Roman" w:hAnsi="Times New Roman" w:eastAsia="仿宋_GB2312" w:cs="Times New Roman"/>
        </w:rPr>
      </w:pPr>
    </w:p>
    <w:p w14:paraId="2CC68CAB">
      <w:pPr>
        <w:pStyle w:val="2"/>
        <w:spacing w:line="339" w:lineRule="auto"/>
        <w:rPr>
          <w:rFonts w:hint="default" w:ascii="Times New Roman" w:hAnsi="Times New Roman" w:eastAsia="仿宋_GB2312" w:cs="Times New Roman"/>
        </w:rPr>
      </w:pPr>
    </w:p>
    <w:p w14:paraId="687E5275">
      <w:pPr>
        <w:pStyle w:val="2"/>
        <w:spacing w:line="339" w:lineRule="auto"/>
        <w:rPr>
          <w:rFonts w:hint="default" w:ascii="Times New Roman" w:hAnsi="Times New Roman" w:eastAsia="仿宋_GB2312" w:cs="Times New Roman"/>
        </w:rPr>
      </w:pPr>
    </w:p>
    <w:p w14:paraId="59B4684F">
      <w:pPr>
        <w:pStyle w:val="2"/>
        <w:spacing w:line="339" w:lineRule="auto"/>
        <w:rPr>
          <w:rFonts w:hint="default" w:ascii="Times New Roman" w:hAnsi="Times New Roman" w:eastAsia="仿宋_GB2312" w:cs="Times New Roman"/>
        </w:rPr>
      </w:pPr>
    </w:p>
    <w:p w14:paraId="4B491C7E">
      <w:pPr>
        <w:pStyle w:val="2"/>
        <w:spacing w:line="339" w:lineRule="auto"/>
        <w:rPr>
          <w:rFonts w:hint="default" w:ascii="Times New Roman" w:hAnsi="Times New Roman" w:eastAsia="仿宋_GB2312" w:cs="Times New Roman"/>
        </w:rPr>
      </w:pPr>
    </w:p>
    <w:p w14:paraId="374AFB6E">
      <w:pPr>
        <w:pStyle w:val="2"/>
        <w:spacing w:line="339" w:lineRule="auto"/>
        <w:rPr>
          <w:rFonts w:hint="default" w:ascii="Times New Roman" w:hAnsi="Times New Roman" w:eastAsia="仿宋_GB2312" w:cs="Times New Roman"/>
        </w:rPr>
      </w:pPr>
    </w:p>
    <w:p w14:paraId="0A3134BE">
      <w:pPr>
        <w:pStyle w:val="2"/>
        <w:spacing w:line="339" w:lineRule="auto"/>
        <w:rPr>
          <w:rFonts w:hint="default" w:ascii="Times New Roman" w:hAnsi="Times New Roman" w:eastAsia="仿宋_GB2312" w:cs="Times New Roman"/>
        </w:rPr>
      </w:pPr>
    </w:p>
    <w:p w14:paraId="2CCD5C34">
      <w:pPr>
        <w:pStyle w:val="2"/>
        <w:spacing w:line="339" w:lineRule="auto"/>
        <w:rPr>
          <w:rFonts w:hint="default" w:ascii="Times New Roman" w:hAnsi="Times New Roman" w:eastAsia="仿宋_GB2312" w:cs="Times New Roman"/>
        </w:rPr>
      </w:pPr>
    </w:p>
    <w:p w14:paraId="209EB4E1">
      <w:pPr>
        <w:pStyle w:val="2"/>
        <w:spacing w:line="339" w:lineRule="auto"/>
        <w:rPr>
          <w:rFonts w:hint="default" w:ascii="Times New Roman" w:hAnsi="Times New Roman" w:eastAsia="仿宋_GB2312" w:cs="Times New Roman"/>
        </w:rPr>
      </w:pPr>
    </w:p>
    <w:p w14:paraId="64CA4D59">
      <w:pPr>
        <w:pStyle w:val="2"/>
        <w:spacing w:line="339" w:lineRule="auto"/>
        <w:rPr>
          <w:rFonts w:hint="default" w:ascii="Times New Roman" w:hAnsi="Times New Roman" w:eastAsia="仿宋_GB2312" w:cs="Times New Roman"/>
        </w:rPr>
      </w:pPr>
    </w:p>
    <w:p w14:paraId="00946410">
      <w:pPr>
        <w:pStyle w:val="2"/>
        <w:spacing w:line="339" w:lineRule="auto"/>
        <w:rPr>
          <w:rFonts w:hint="default" w:ascii="Times New Roman" w:hAnsi="Times New Roman" w:eastAsia="仿宋_GB2312" w:cs="Times New Roman"/>
        </w:rPr>
      </w:pPr>
    </w:p>
    <w:p w14:paraId="7445E423">
      <w:pPr>
        <w:pStyle w:val="2"/>
        <w:spacing w:line="339" w:lineRule="auto"/>
        <w:rPr>
          <w:rFonts w:hint="default" w:ascii="Times New Roman" w:hAnsi="Times New Roman" w:eastAsia="仿宋_GB2312" w:cs="Times New Roman"/>
        </w:rPr>
      </w:pPr>
    </w:p>
    <w:p w14:paraId="24B0D922">
      <w:pPr>
        <w:pStyle w:val="2"/>
        <w:spacing w:line="339" w:lineRule="auto"/>
        <w:rPr>
          <w:rFonts w:hint="default" w:ascii="Times New Roman" w:hAnsi="Times New Roman" w:eastAsia="仿宋_GB2312" w:cs="Times New Roman"/>
        </w:rPr>
      </w:pPr>
    </w:p>
    <w:p w14:paraId="15DD3C78">
      <w:pPr>
        <w:pStyle w:val="2"/>
        <w:spacing w:line="339" w:lineRule="auto"/>
        <w:rPr>
          <w:rFonts w:hint="default" w:ascii="Times New Roman" w:hAnsi="Times New Roman" w:eastAsia="仿宋_GB2312" w:cs="Times New Roman"/>
        </w:rPr>
      </w:pPr>
    </w:p>
    <w:p w14:paraId="45C5C469">
      <w:pPr>
        <w:pStyle w:val="2"/>
        <w:spacing w:line="339" w:lineRule="auto"/>
        <w:rPr>
          <w:rFonts w:hint="default" w:ascii="Times New Roman" w:hAnsi="Times New Roman" w:eastAsia="仿宋_GB2312" w:cs="Times New Roman"/>
        </w:rPr>
      </w:pPr>
    </w:p>
    <w:p w14:paraId="6FF708A2">
      <w:pPr>
        <w:pStyle w:val="2"/>
        <w:spacing w:line="339" w:lineRule="auto"/>
        <w:rPr>
          <w:rFonts w:hint="default" w:ascii="Times New Roman" w:hAnsi="Times New Roman" w:eastAsia="仿宋_GB2312" w:cs="Times New Roman"/>
        </w:rPr>
      </w:pPr>
    </w:p>
    <w:p w14:paraId="383A72E9">
      <w:pPr>
        <w:pStyle w:val="2"/>
        <w:spacing w:line="339" w:lineRule="auto"/>
        <w:rPr>
          <w:rFonts w:hint="default" w:ascii="Times New Roman" w:hAnsi="Times New Roman" w:eastAsia="仿宋_GB2312" w:cs="Times New Roman"/>
        </w:rPr>
      </w:pPr>
    </w:p>
    <w:p w14:paraId="795DA71B">
      <w:pPr>
        <w:pStyle w:val="2"/>
        <w:spacing w:line="339" w:lineRule="auto"/>
        <w:rPr>
          <w:rFonts w:hint="default" w:ascii="Times New Roman" w:hAnsi="Times New Roman" w:eastAsia="仿宋_GB2312" w:cs="Times New Roman"/>
        </w:rPr>
      </w:pPr>
    </w:p>
    <w:p w14:paraId="0D84B7C6">
      <w:pPr>
        <w:pStyle w:val="2"/>
        <w:spacing w:line="340" w:lineRule="auto"/>
        <w:rPr>
          <w:rFonts w:hint="default" w:ascii="Times New Roman" w:hAnsi="Times New Roman" w:eastAsia="仿宋_GB2312" w:cs="Times New Roman"/>
        </w:rPr>
      </w:pPr>
    </w:p>
    <w:p w14:paraId="4E862F5C">
      <w:pPr>
        <w:spacing w:before="101" w:line="224" w:lineRule="auto"/>
        <w:ind w:left="674"/>
        <w:rPr>
          <w:rFonts w:hint="default" w:ascii="Times New Roman" w:hAnsi="Times New Roman" w:eastAsia="仿宋_GB2312" w:cs="Times New Roman"/>
        </w:rPr>
      </w:pPr>
      <w:r>
        <w:rPr>
          <w:rFonts w:hint="default" w:ascii="Times New Roman" w:hAnsi="Times New Roman" w:eastAsia="仿宋_GB2312" w:cs="Times New Roman"/>
          <w:b/>
          <w:bCs/>
          <w:spacing w:val="7"/>
          <w:sz w:val="31"/>
          <w:szCs w:val="31"/>
        </w:rPr>
        <w:t>三、支出决算表</w:t>
      </w:r>
    </w:p>
    <w:p w14:paraId="4FB6703B">
      <w:pPr>
        <w:pStyle w:val="2"/>
        <w:spacing w:line="242" w:lineRule="auto"/>
      </w:pPr>
    </w:p>
    <w:p w14:paraId="05F8CBF5">
      <w:pPr>
        <w:pStyle w:val="2"/>
        <w:spacing w:line="242" w:lineRule="auto"/>
      </w:pPr>
    </w:p>
    <w:p w14:paraId="5F49D60D">
      <w:pPr>
        <w:pStyle w:val="2"/>
        <w:spacing w:line="242" w:lineRule="auto"/>
      </w:pPr>
      <w:r>
        <w:drawing>
          <wp:inline distT="0" distB="0" distL="114300" distR="114300">
            <wp:extent cx="5289550" cy="4022725"/>
            <wp:effectExtent l="0" t="0" r="6350" b="1587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21"/>
                    <a:stretch>
                      <a:fillRect/>
                    </a:stretch>
                  </pic:blipFill>
                  <pic:spPr>
                    <a:xfrm>
                      <a:off x="0" y="0"/>
                      <a:ext cx="5289550" cy="4022725"/>
                    </a:xfrm>
                    <a:prstGeom prst="rect">
                      <a:avLst/>
                    </a:prstGeom>
                    <a:noFill/>
                    <a:ln>
                      <a:noFill/>
                    </a:ln>
                  </pic:spPr>
                </pic:pic>
              </a:graphicData>
            </a:graphic>
          </wp:inline>
        </w:drawing>
      </w:r>
    </w:p>
    <w:p w14:paraId="4BADDF0C">
      <w:pPr>
        <w:pStyle w:val="2"/>
        <w:spacing w:line="242" w:lineRule="auto"/>
        <w:rPr>
          <w:rFonts w:hint="default" w:ascii="Times New Roman" w:hAnsi="Times New Roman" w:eastAsia="仿宋_GB2312" w:cs="Times New Roman"/>
        </w:rPr>
      </w:pPr>
    </w:p>
    <w:p w14:paraId="3D4FA0A0">
      <w:pPr>
        <w:pStyle w:val="2"/>
        <w:spacing w:line="242" w:lineRule="auto"/>
        <w:rPr>
          <w:rFonts w:hint="default" w:ascii="Times New Roman" w:hAnsi="Times New Roman" w:eastAsia="仿宋_GB2312" w:cs="Times New Roman"/>
        </w:rPr>
      </w:pPr>
    </w:p>
    <w:p w14:paraId="2A23E9BB">
      <w:pPr>
        <w:pStyle w:val="2"/>
        <w:spacing w:line="242" w:lineRule="auto"/>
        <w:rPr>
          <w:rFonts w:hint="default" w:ascii="Times New Roman" w:hAnsi="Times New Roman" w:eastAsia="仿宋_GB2312" w:cs="Times New Roman"/>
        </w:rPr>
      </w:pPr>
    </w:p>
    <w:p w14:paraId="7712D66C">
      <w:pPr>
        <w:pStyle w:val="2"/>
        <w:spacing w:line="339" w:lineRule="auto"/>
        <w:rPr>
          <w:rFonts w:hint="default" w:ascii="Times New Roman" w:hAnsi="Times New Roman" w:eastAsia="仿宋_GB2312" w:cs="Times New Roman"/>
        </w:rPr>
      </w:pPr>
    </w:p>
    <w:p w14:paraId="675984CC">
      <w:pPr>
        <w:pStyle w:val="2"/>
        <w:spacing w:line="339" w:lineRule="auto"/>
        <w:rPr>
          <w:rFonts w:hint="default" w:ascii="Times New Roman" w:hAnsi="Times New Roman" w:eastAsia="仿宋_GB2312" w:cs="Times New Roman"/>
        </w:rPr>
      </w:pPr>
    </w:p>
    <w:p w14:paraId="5EABA11D">
      <w:pPr>
        <w:pStyle w:val="2"/>
        <w:spacing w:line="339" w:lineRule="auto"/>
        <w:rPr>
          <w:rFonts w:hint="default" w:ascii="Times New Roman" w:hAnsi="Times New Roman" w:eastAsia="仿宋_GB2312" w:cs="Times New Roman"/>
        </w:rPr>
      </w:pPr>
    </w:p>
    <w:p w14:paraId="7C986365">
      <w:pPr>
        <w:pStyle w:val="2"/>
        <w:spacing w:line="339" w:lineRule="auto"/>
        <w:rPr>
          <w:rFonts w:hint="default" w:ascii="Times New Roman" w:hAnsi="Times New Roman" w:eastAsia="仿宋_GB2312" w:cs="Times New Roman"/>
        </w:rPr>
      </w:pPr>
    </w:p>
    <w:p w14:paraId="42C5C87D">
      <w:pPr>
        <w:pStyle w:val="2"/>
        <w:spacing w:line="339" w:lineRule="auto"/>
        <w:rPr>
          <w:rFonts w:hint="default" w:ascii="Times New Roman" w:hAnsi="Times New Roman" w:eastAsia="仿宋_GB2312" w:cs="Times New Roman"/>
        </w:rPr>
      </w:pPr>
    </w:p>
    <w:p w14:paraId="38FAFA51">
      <w:pPr>
        <w:pStyle w:val="2"/>
        <w:spacing w:line="339" w:lineRule="auto"/>
        <w:rPr>
          <w:rFonts w:hint="default" w:ascii="Times New Roman" w:hAnsi="Times New Roman" w:eastAsia="仿宋_GB2312" w:cs="Times New Roman"/>
        </w:rPr>
      </w:pPr>
    </w:p>
    <w:p w14:paraId="781A8870">
      <w:pPr>
        <w:pStyle w:val="2"/>
        <w:spacing w:line="339" w:lineRule="auto"/>
        <w:rPr>
          <w:rFonts w:hint="default" w:ascii="Times New Roman" w:hAnsi="Times New Roman" w:eastAsia="仿宋_GB2312" w:cs="Times New Roman"/>
        </w:rPr>
      </w:pPr>
    </w:p>
    <w:p w14:paraId="08E02C94">
      <w:pPr>
        <w:pStyle w:val="2"/>
        <w:spacing w:line="339" w:lineRule="auto"/>
        <w:rPr>
          <w:rFonts w:hint="default" w:ascii="Times New Roman" w:hAnsi="Times New Roman" w:eastAsia="仿宋_GB2312" w:cs="Times New Roman"/>
        </w:rPr>
      </w:pPr>
    </w:p>
    <w:p w14:paraId="5D948429">
      <w:pPr>
        <w:pStyle w:val="2"/>
        <w:spacing w:line="339" w:lineRule="auto"/>
        <w:rPr>
          <w:rFonts w:hint="default" w:ascii="Times New Roman" w:hAnsi="Times New Roman" w:eastAsia="仿宋_GB2312" w:cs="Times New Roman"/>
        </w:rPr>
      </w:pPr>
    </w:p>
    <w:p w14:paraId="0F4EBB8C">
      <w:pPr>
        <w:pStyle w:val="2"/>
        <w:spacing w:line="339" w:lineRule="auto"/>
        <w:rPr>
          <w:rFonts w:hint="default" w:ascii="Times New Roman" w:hAnsi="Times New Roman" w:eastAsia="仿宋_GB2312" w:cs="Times New Roman"/>
        </w:rPr>
      </w:pPr>
    </w:p>
    <w:p w14:paraId="4E17152D">
      <w:pPr>
        <w:pStyle w:val="2"/>
        <w:spacing w:line="339" w:lineRule="auto"/>
        <w:rPr>
          <w:rFonts w:hint="default" w:ascii="Times New Roman" w:hAnsi="Times New Roman" w:eastAsia="仿宋_GB2312" w:cs="Times New Roman"/>
        </w:rPr>
      </w:pPr>
    </w:p>
    <w:p w14:paraId="15E7427C">
      <w:pPr>
        <w:pStyle w:val="2"/>
        <w:spacing w:line="339" w:lineRule="auto"/>
        <w:rPr>
          <w:rFonts w:hint="default" w:ascii="Times New Roman" w:hAnsi="Times New Roman" w:eastAsia="仿宋_GB2312" w:cs="Times New Roman"/>
        </w:rPr>
      </w:pPr>
    </w:p>
    <w:p w14:paraId="4611229C">
      <w:pPr>
        <w:pStyle w:val="2"/>
        <w:spacing w:line="339" w:lineRule="auto"/>
        <w:rPr>
          <w:rFonts w:hint="default" w:ascii="Times New Roman" w:hAnsi="Times New Roman" w:eastAsia="仿宋_GB2312" w:cs="Times New Roman"/>
        </w:rPr>
      </w:pPr>
    </w:p>
    <w:p w14:paraId="1384283F">
      <w:pPr>
        <w:pStyle w:val="2"/>
        <w:spacing w:line="339" w:lineRule="auto"/>
        <w:rPr>
          <w:rFonts w:hint="default" w:ascii="Times New Roman" w:hAnsi="Times New Roman" w:eastAsia="仿宋_GB2312" w:cs="Times New Roman"/>
        </w:rPr>
      </w:pPr>
    </w:p>
    <w:p w14:paraId="4D69E594">
      <w:pPr>
        <w:pStyle w:val="2"/>
        <w:spacing w:line="339" w:lineRule="auto"/>
        <w:rPr>
          <w:rFonts w:hint="default" w:ascii="Times New Roman" w:hAnsi="Times New Roman" w:eastAsia="仿宋_GB2312" w:cs="Times New Roman"/>
        </w:rPr>
      </w:pPr>
    </w:p>
    <w:p w14:paraId="3D785C7C">
      <w:pPr>
        <w:pStyle w:val="2"/>
        <w:spacing w:line="339" w:lineRule="auto"/>
        <w:rPr>
          <w:rFonts w:hint="default" w:ascii="Times New Roman" w:hAnsi="Times New Roman" w:eastAsia="仿宋_GB2312" w:cs="Times New Roman"/>
        </w:rPr>
      </w:pPr>
    </w:p>
    <w:p w14:paraId="637F8B87">
      <w:pPr>
        <w:pStyle w:val="2"/>
        <w:spacing w:line="339" w:lineRule="auto"/>
        <w:rPr>
          <w:rFonts w:hint="default" w:ascii="Times New Roman" w:hAnsi="Times New Roman" w:eastAsia="仿宋_GB2312" w:cs="Times New Roman"/>
        </w:rPr>
      </w:pPr>
    </w:p>
    <w:p w14:paraId="405F8888">
      <w:pPr>
        <w:pStyle w:val="2"/>
        <w:spacing w:line="340" w:lineRule="auto"/>
        <w:rPr>
          <w:rFonts w:hint="default" w:ascii="Times New Roman" w:hAnsi="Times New Roman" w:eastAsia="仿宋_GB2312" w:cs="Times New Roman"/>
        </w:rPr>
      </w:pPr>
    </w:p>
    <w:p w14:paraId="720895E7">
      <w:pPr>
        <w:spacing w:before="101" w:line="224" w:lineRule="auto"/>
        <w:ind w:left="-14" w:leftChars="0" w:firstLine="702" w:firstLineChars="216"/>
        <w:rPr>
          <w:rFonts w:hint="default" w:ascii="Times New Roman" w:hAnsi="Times New Roman" w:eastAsia="仿宋_GB2312" w:cs="Times New Roman"/>
          <w:b/>
          <w:bCs/>
          <w:spacing w:val="7"/>
          <w:sz w:val="31"/>
          <w:szCs w:val="31"/>
        </w:rPr>
      </w:pPr>
      <w:r>
        <w:rPr>
          <w:rFonts w:hint="default" w:ascii="Times New Roman" w:hAnsi="Times New Roman" w:eastAsia="仿宋_GB2312" w:cs="Times New Roman"/>
          <w:b/>
          <w:bCs/>
          <w:spacing w:val="7"/>
          <w:sz w:val="31"/>
          <w:szCs w:val="31"/>
        </w:rPr>
        <w:t>四、财政拨款收入支出决算总表</w:t>
      </w:r>
    </w:p>
    <w:p w14:paraId="705E0B2F">
      <w:pPr>
        <w:spacing w:before="101" w:line="224" w:lineRule="auto"/>
        <w:ind w:left="-14" w:leftChars="0" w:firstLine="453" w:firstLineChars="216"/>
      </w:pPr>
    </w:p>
    <w:p w14:paraId="60D5698F">
      <w:pPr>
        <w:spacing w:before="101" w:line="224" w:lineRule="auto"/>
        <w:ind w:left="-14" w:leftChars="0" w:firstLine="453" w:firstLineChars="216"/>
      </w:pPr>
    </w:p>
    <w:p w14:paraId="4BB7AC98">
      <w:pPr>
        <w:spacing w:before="101" w:line="224" w:lineRule="auto"/>
        <w:ind w:left="-414" w:leftChars="0" w:firstLine="212" w:firstLineChars="101"/>
        <w:rPr>
          <w:rFonts w:hint="default" w:ascii="Times New Roman" w:hAnsi="Times New Roman" w:eastAsia="仿宋_GB2312" w:cs="Times New Roman"/>
        </w:rPr>
      </w:pPr>
      <w:r>
        <w:drawing>
          <wp:inline distT="0" distB="0" distL="114300" distR="114300">
            <wp:extent cx="5650230" cy="4834890"/>
            <wp:effectExtent l="0" t="0" r="7620" b="381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22"/>
                    <a:stretch>
                      <a:fillRect/>
                    </a:stretch>
                  </pic:blipFill>
                  <pic:spPr>
                    <a:xfrm>
                      <a:off x="0" y="0"/>
                      <a:ext cx="5650230" cy="4834890"/>
                    </a:xfrm>
                    <a:prstGeom prst="rect">
                      <a:avLst/>
                    </a:prstGeom>
                    <a:noFill/>
                    <a:ln>
                      <a:noFill/>
                    </a:ln>
                  </pic:spPr>
                </pic:pic>
              </a:graphicData>
            </a:graphic>
          </wp:inline>
        </w:drawing>
      </w:r>
    </w:p>
    <w:p w14:paraId="5B547191">
      <w:pPr>
        <w:pStyle w:val="2"/>
        <w:spacing w:line="273" w:lineRule="auto"/>
        <w:rPr>
          <w:rFonts w:hint="default" w:ascii="Times New Roman" w:hAnsi="Times New Roman" w:eastAsia="仿宋_GB2312" w:cs="Times New Roman"/>
        </w:rPr>
      </w:pPr>
    </w:p>
    <w:p w14:paraId="78FCA7E7">
      <w:pPr>
        <w:pStyle w:val="2"/>
        <w:spacing w:line="273" w:lineRule="auto"/>
        <w:rPr>
          <w:rFonts w:hint="default" w:ascii="Times New Roman" w:hAnsi="Times New Roman" w:eastAsia="仿宋_GB2312" w:cs="Times New Roman"/>
        </w:rPr>
      </w:pPr>
    </w:p>
    <w:p w14:paraId="14298422">
      <w:pPr>
        <w:pStyle w:val="2"/>
        <w:spacing w:line="274" w:lineRule="auto"/>
        <w:rPr>
          <w:rFonts w:hint="default" w:ascii="Times New Roman" w:hAnsi="Times New Roman" w:eastAsia="仿宋_GB2312" w:cs="Times New Roman"/>
        </w:rPr>
      </w:pPr>
    </w:p>
    <w:p w14:paraId="54BF3C49">
      <w:pPr>
        <w:spacing w:line="224" w:lineRule="auto"/>
        <w:rPr>
          <w:rFonts w:hint="default" w:ascii="Times New Roman" w:hAnsi="Times New Roman" w:eastAsia="仿宋_GB2312" w:cs="Times New Roman"/>
          <w:sz w:val="31"/>
          <w:szCs w:val="31"/>
        </w:rPr>
        <w:sectPr>
          <w:footerReference r:id="rId9" w:type="default"/>
          <w:pgSz w:w="11907" w:h="16839"/>
          <w:pgMar w:top="1429" w:right="1644" w:bottom="1151" w:left="1785" w:header="0" w:footer="0" w:gutter="0"/>
          <w:cols w:space="0" w:num="1"/>
          <w:rtlGutter w:val="0"/>
          <w:docGrid w:linePitch="0" w:charSpace="0"/>
        </w:sectPr>
      </w:pPr>
    </w:p>
    <w:p w14:paraId="7509F604">
      <w:pPr>
        <w:pStyle w:val="2"/>
        <w:spacing w:line="339" w:lineRule="auto"/>
        <w:rPr>
          <w:rFonts w:hint="default" w:ascii="Times New Roman" w:hAnsi="Times New Roman" w:eastAsia="仿宋_GB2312" w:cs="Times New Roman"/>
        </w:rPr>
      </w:pPr>
    </w:p>
    <w:p w14:paraId="06BEAB8D">
      <w:pPr>
        <w:pStyle w:val="2"/>
        <w:spacing w:line="339" w:lineRule="auto"/>
        <w:rPr>
          <w:rFonts w:hint="default" w:ascii="Times New Roman" w:hAnsi="Times New Roman" w:eastAsia="仿宋_GB2312" w:cs="Times New Roman"/>
        </w:rPr>
      </w:pPr>
    </w:p>
    <w:p w14:paraId="3A112ADE">
      <w:pPr>
        <w:spacing w:before="100" w:line="224" w:lineRule="auto"/>
        <w:ind w:left="676"/>
        <w:rPr>
          <w:rFonts w:hint="default" w:ascii="Times New Roman" w:hAnsi="Times New Roman" w:eastAsia="仿宋_GB2312" w:cs="Times New Roman"/>
        </w:rPr>
      </w:pPr>
      <w:r>
        <w:rPr>
          <w:rFonts w:hint="default" w:ascii="Times New Roman" w:hAnsi="Times New Roman" w:eastAsia="仿宋_GB2312" w:cs="Times New Roman"/>
          <w:b/>
          <w:bCs/>
          <w:spacing w:val="8"/>
          <w:sz w:val="31"/>
          <w:szCs w:val="31"/>
        </w:rPr>
        <w:t>五、一般公共预算财政拨款支出决算表</w:t>
      </w:r>
    </w:p>
    <w:p w14:paraId="07F83E65">
      <w:pPr>
        <w:pStyle w:val="2"/>
        <w:spacing w:line="268" w:lineRule="auto"/>
        <w:rPr>
          <w:rFonts w:hint="eastAsia" w:ascii="Times New Roman" w:hAnsi="Times New Roman" w:eastAsia="仿宋_GB2312" w:cs="Times New Roman"/>
          <w:lang w:eastAsia="zh-CN"/>
        </w:rPr>
      </w:pPr>
    </w:p>
    <w:p w14:paraId="33FA4250">
      <w:pPr>
        <w:pStyle w:val="2"/>
        <w:spacing w:line="268" w:lineRule="auto"/>
        <w:rPr>
          <w:rFonts w:hint="default" w:ascii="Times New Roman" w:hAnsi="Times New Roman" w:eastAsia="仿宋_GB2312" w:cs="Times New Roman"/>
        </w:rPr>
      </w:pPr>
    </w:p>
    <w:p w14:paraId="1B7DE23C">
      <w:pPr>
        <w:pStyle w:val="2"/>
        <w:spacing w:line="268" w:lineRule="auto"/>
        <w:rPr>
          <w:rFonts w:hint="default" w:ascii="Times New Roman" w:hAnsi="Times New Roman" w:eastAsia="仿宋_GB2312" w:cs="Times New Roman"/>
        </w:rPr>
      </w:pPr>
    </w:p>
    <w:p w14:paraId="6AB4D29C">
      <w:pPr>
        <w:spacing w:line="361" w:lineRule="auto"/>
        <w:rPr>
          <w:rFonts w:hint="eastAsia" w:ascii="Times New Roman" w:hAnsi="Times New Roman" w:eastAsia="仿宋_GB2312" w:cs="Times New Roman"/>
          <w:sz w:val="31"/>
          <w:szCs w:val="31"/>
          <w:lang w:eastAsia="zh-CN"/>
        </w:rPr>
        <w:sectPr>
          <w:footerReference r:id="rId10" w:type="default"/>
          <w:pgSz w:w="11907" w:h="16839"/>
          <w:pgMar w:top="1429" w:right="1644" w:bottom="1151" w:left="1785" w:header="0" w:footer="0" w:gutter="0"/>
          <w:cols w:space="0" w:num="1"/>
          <w:rtlGutter w:val="0"/>
          <w:docGrid w:linePitch="0" w:charSpace="0"/>
        </w:sectPr>
      </w:pPr>
      <w:r>
        <w:rPr>
          <w:rFonts w:hint="eastAsia" w:ascii="Times New Roman" w:hAnsi="Times New Roman" w:eastAsia="仿宋_GB2312" w:cs="Times New Roman"/>
          <w:sz w:val="31"/>
          <w:szCs w:val="31"/>
          <w:lang w:eastAsia="zh-CN"/>
        </w:rPr>
        <w:drawing>
          <wp:inline distT="0" distB="0" distL="114300" distR="114300">
            <wp:extent cx="5379085" cy="4987290"/>
            <wp:effectExtent l="0" t="0" r="12065" b="3810"/>
            <wp:docPr id="2" name="图片 2" descr="1729835806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29835806476"/>
                    <pic:cNvPicPr>
                      <a:picLocks noChangeAspect="1"/>
                    </pic:cNvPicPr>
                  </pic:nvPicPr>
                  <pic:blipFill>
                    <a:blip r:embed="rId23"/>
                    <a:stretch>
                      <a:fillRect/>
                    </a:stretch>
                  </pic:blipFill>
                  <pic:spPr>
                    <a:xfrm>
                      <a:off x="0" y="0"/>
                      <a:ext cx="5379085" cy="4987290"/>
                    </a:xfrm>
                    <a:prstGeom prst="rect">
                      <a:avLst/>
                    </a:prstGeom>
                  </pic:spPr>
                </pic:pic>
              </a:graphicData>
            </a:graphic>
          </wp:inline>
        </w:drawing>
      </w:r>
    </w:p>
    <w:p w14:paraId="75A18256">
      <w:pPr>
        <w:pStyle w:val="2"/>
        <w:spacing w:line="339" w:lineRule="auto"/>
        <w:rPr>
          <w:rFonts w:hint="default" w:ascii="Times New Roman" w:hAnsi="Times New Roman" w:eastAsia="仿宋_GB2312" w:cs="Times New Roman"/>
        </w:rPr>
      </w:pPr>
    </w:p>
    <w:p w14:paraId="10AB3C98">
      <w:pPr>
        <w:pStyle w:val="2"/>
        <w:spacing w:line="339" w:lineRule="auto"/>
        <w:rPr>
          <w:rFonts w:hint="default" w:ascii="Times New Roman" w:hAnsi="Times New Roman" w:eastAsia="仿宋_GB2312" w:cs="Times New Roman"/>
        </w:rPr>
      </w:pPr>
    </w:p>
    <w:p w14:paraId="462A5BC1">
      <w:pPr>
        <w:spacing w:before="100" w:line="224" w:lineRule="auto"/>
        <w:ind w:left="17" w:leftChars="0" w:firstLine="658" w:firstLineChars="201"/>
        <w:rPr>
          <w:rFonts w:hint="default" w:ascii="Times New Roman" w:hAnsi="Times New Roman" w:eastAsia="仿宋_GB2312" w:cs="Times New Roman"/>
        </w:rPr>
      </w:pPr>
      <w:r>
        <w:rPr>
          <w:rFonts w:hint="default" w:ascii="Times New Roman" w:hAnsi="Times New Roman" w:eastAsia="仿宋_GB2312" w:cs="Times New Roman"/>
          <w:b/>
          <w:bCs/>
          <w:spacing w:val="8"/>
          <w:sz w:val="31"/>
          <w:szCs w:val="31"/>
        </w:rPr>
        <w:t>六、一般公共预算财政拨款基本支出决算明细表</w:t>
      </w:r>
    </w:p>
    <w:p w14:paraId="7A61B141">
      <w:pPr>
        <w:pStyle w:val="2"/>
        <w:spacing w:line="270" w:lineRule="auto"/>
        <w:rPr>
          <w:rFonts w:hint="default" w:ascii="Times New Roman" w:hAnsi="Times New Roman" w:eastAsia="仿宋_GB2312" w:cs="Times New Roman"/>
        </w:rPr>
      </w:pPr>
    </w:p>
    <w:p w14:paraId="5B03BDB2">
      <w:pPr>
        <w:pStyle w:val="2"/>
        <w:spacing w:line="270" w:lineRule="auto"/>
        <w:rPr>
          <w:rFonts w:hint="default" w:ascii="Times New Roman" w:hAnsi="Times New Roman" w:eastAsia="仿宋_GB2312" w:cs="Times New Roman"/>
        </w:rPr>
      </w:pPr>
    </w:p>
    <w:p w14:paraId="2755F030">
      <w:pPr>
        <w:pStyle w:val="2"/>
        <w:spacing w:line="270" w:lineRule="auto"/>
        <w:rPr>
          <w:rFonts w:hint="default" w:ascii="Times New Roman" w:hAnsi="Times New Roman" w:eastAsia="仿宋_GB2312" w:cs="Times New Roman"/>
        </w:rPr>
      </w:pPr>
    </w:p>
    <w:p w14:paraId="708F09F6">
      <w:pPr>
        <w:spacing w:line="361" w:lineRule="auto"/>
        <w:rPr>
          <w:rFonts w:hint="eastAsia" w:ascii="Times New Roman" w:hAnsi="Times New Roman" w:eastAsia="仿宋_GB2312" w:cs="Times New Roman"/>
          <w:sz w:val="31"/>
          <w:szCs w:val="31"/>
          <w:lang w:eastAsia="zh-CN"/>
        </w:rPr>
        <w:sectPr>
          <w:footerReference r:id="rId11" w:type="default"/>
          <w:pgSz w:w="11907" w:h="16839"/>
          <w:pgMar w:top="1429" w:right="1644" w:bottom="1151" w:left="1785" w:header="0" w:footer="0" w:gutter="0"/>
          <w:cols w:space="0" w:num="1"/>
          <w:rtlGutter w:val="0"/>
          <w:docGrid w:linePitch="0" w:charSpace="0"/>
        </w:sectPr>
      </w:pPr>
      <w:r>
        <w:rPr>
          <w:rFonts w:hint="eastAsia" w:ascii="Times New Roman" w:hAnsi="Times New Roman" w:eastAsia="仿宋_GB2312" w:cs="Times New Roman"/>
          <w:sz w:val="31"/>
          <w:szCs w:val="31"/>
          <w:lang w:eastAsia="zh-CN"/>
        </w:rPr>
        <w:drawing>
          <wp:inline distT="0" distB="0" distL="114300" distR="114300">
            <wp:extent cx="5382895" cy="3162300"/>
            <wp:effectExtent l="0" t="0" r="8255" b="0"/>
            <wp:docPr id="3" name="图片 3" descr="1730253034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30253034097"/>
                    <pic:cNvPicPr>
                      <a:picLocks noChangeAspect="1"/>
                    </pic:cNvPicPr>
                  </pic:nvPicPr>
                  <pic:blipFill>
                    <a:blip r:embed="rId24"/>
                    <a:stretch>
                      <a:fillRect/>
                    </a:stretch>
                  </pic:blipFill>
                  <pic:spPr>
                    <a:xfrm>
                      <a:off x="0" y="0"/>
                      <a:ext cx="5382895" cy="3162300"/>
                    </a:xfrm>
                    <a:prstGeom prst="rect">
                      <a:avLst/>
                    </a:prstGeom>
                  </pic:spPr>
                </pic:pic>
              </a:graphicData>
            </a:graphic>
          </wp:inline>
        </w:drawing>
      </w:r>
    </w:p>
    <w:p w14:paraId="341DA233">
      <w:pPr>
        <w:pStyle w:val="2"/>
        <w:spacing w:line="339" w:lineRule="auto"/>
        <w:rPr>
          <w:rFonts w:hint="default" w:ascii="Times New Roman" w:hAnsi="Times New Roman" w:eastAsia="仿宋_GB2312" w:cs="Times New Roman"/>
        </w:rPr>
      </w:pPr>
    </w:p>
    <w:p w14:paraId="14323D4E">
      <w:pPr>
        <w:pStyle w:val="2"/>
        <w:spacing w:line="340" w:lineRule="auto"/>
        <w:rPr>
          <w:rFonts w:hint="default" w:ascii="Times New Roman" w:hAnsi="Times New Roman" w:eastAsia="仿宋_GB2312" w:cs="Times New Roman"/>
        </w:rPr>
      </w:pPr>
    </w:p>
    <w:p w14:paraId="47788D16">
      <w:pPr>
        <w:spacing w:before="101" w:line="224" w:lineRule="auto"/>
        <w:ind w:left="6" w:leftChars="0" w:firstLine="658" w:firstLineChars="201"/>
        <w:rPr>
          <w:rFonts w:hint="default" w:ascii="Times New Roman" w:hAnsi="Times New Roman" w:eastAsia="仿宋_GB2312" w:cs="Times New Roman"/>
        </w:rPr>
      </w:pPr>
      <w:r>
        <w:rPr>
          <w:rFonts w:hint="default" w:ascii="Times New Roman" w:hAnsi="Times New Roman" w:eastAsia="仿宋_GB2312" w:cs="Times New Roman"/>
          <w:b/>
          <w:bCs/>
          <w:spacing w:val="8"/>
          <w:sz w:val="31"/>
          <w:szCs w:val="31"/>
        </w:rPr>
        <w:t>七、政府性基金预算财政拨款收入支出决算表</w:t>
      </w:r>
      <w:r>
        <w:drawing>
          <wp:inline distT="0" distB="0" distL="114300" distR="114300">
            <wp:extent cx="5286375" cy="2588895"/>
            <wp:effectExtent l="0" t="0" r="9525" b="190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25"/>
                    <a:stretch>
                      <a:fillRect/>
                    </a:stretch>
                  </pic:blipFill>
                  <pic:spPr>
                    <a:xfrm>
                      <a:off x="0" y="0"/>
                      <a:ext cx="5286375" cy="2588895"/>
                    </a:xfrm>
                    <a:prstGeom prst="rect">
                      <a:avLst/>
                    </a:prstGeom>
                    <a:noFill/>
                    <a:ln>
                      <a:noFill/>
                    </a:ln>
                  </pic:spPr>
                </pic:pic>
              </a:graphicData>
            </a:graphic>
          </wp:inline>
        </w:drawing>
      </w:r>
    </w:p>
    <w:p w14:paraId="0215E978">
      <w:pPr>
        <w:pStyle w:val="2"/>
        <w:spacing w:line="270" w:lineRule="auto"/>
        <w:rPr>
          <w:rFonts w:hint="default" w:ascii="Times New Roman" w:hAnsi="Times New Roman" w:eastAsia="仿宋_GB2312" w:cs="Times New Roman"/>
        </w:rPr>
      </w:pPr>
    </w:p>
    <w:p w14:paraId="3743DEA2">
      <w:pPr>
        <w:pStyle w:val="2"/>
        <w:spacing w:line="270" w:lineRule="auto"/>
        <w:rPr>
          <w:rFonts w:hint="default" w:ascii="Times New Roman" w:hAnsi="Times New Roman" w:eastAsia="仿宋_GB2312" w:cs="Times New Roman"/>
        </w:rPr>
      </w:pPr>
    </w:p>
    <w:p w14:paraId="1A4185CB">
      <w:pPr>
        <w:pStyle w:val="2"/>
        <w:spacing w:line="271" w:lineRule="auto"/>
        <w:rPr>
          <w:rFonts w:hint="default" w:ascii="Times New Roman" w:hAnsi="Times New Roman" w:eastAsia="仿宋_GB2312" w:cs="Times New Roman"/>
        </w:rPr>
      </w:pPr>
    </w:p>
    <w:p w14:paraId="51D38B50">
      <w:pPr>
        <w:spacing w:line="364" w:lineRule="auto"/>
        <w:rPr>
          <w:rFonts w:hint="default" w:ascii="Times New Roman" w:hAnsi="Times New Roman" w:eastAsia="仿宋_GB2312" w:cs="Times New Roman"/>
          <w:sz w:val="31"/>
          <w:szCs w:val="31"/>
        </w:rPr>
        <w:sectPr>
          <w:footerReference r:id="rId12" w:type="default"/>
          <w:pgSz w:w="11907" w:h="16839"/>
          <w:pgMar w:top="1429" w:right="1644" w:bottom="1151" w:left="1785" w:header="0" w:footer="0" w:gutter="0"/>
          <w:cols w:space="0" w:num="1"/>
          <w:rtlGutter w:val="0"/>
          <w:docGrid w:linePitch="0" w:charSpace="0"/>
        </w:sectPr>
      </w:pPr>
      <w:bookmarkStart w:id="0" w:name="_GoBack"/>
      <w:bookmarkEnd w:id="0"/>
    </w:p>
    <w:p w14:paraId="1CB54150">
      <w:pPr>
        <w:pStyle w:val="2"/>
        <w:spacing w:line="339" w:lineRule="auto"/>
        <w:rPr>
          <w:rFonts w:hint="default" w:ascii="Times New Roman" w:hAnsi="Times New Roman" w:eastAsia="仿宋_GB2312" w:cs="Times New Roman"/>
        </w:rPr>
      </w:pPr>
    </w:p>
    <w:p w14:paraId="5641BD30">
      <w:pPr>
        <w:pStyle w:val="2"/>
        <w:spacing w:line="340" w:lineRule="auto"/>
        <w:rPr>
          <w:rFonts w:hint="default" w:ascii="Times New Roman" w:hAnsi="Times New Roman" w:eastAsia="仿宋_GB2312" w:cs="Times New Roman"/>
        </w:rPr>
      </w:pPr>
    </w:p>
    <w:p w14:paraId="394C9DD1">
      <w:pPr>
        <w:spacing w:before="101" w:line="224" w:lineRule="auto"/>
        <w:ind w:left="-433" w:leftChars="0" w:firstLine="1106" w:firstLineChars="338"/>
        <w:rPr>
          <w:rFonts w:hint="default" w:ascii="Times New Roman" w:hAnsi="Times New Roman" w:eastAsia="仿宋_GB2312" w:cs="Times New Roman"/>
        </w:rPr>
      </w:pPr>
      <w:r>
        <w:rPr>
          <w:rFonts w:hint="default" w:ascii="Times New Roman" w:hAnsi="Times New Roman" w:eastAsia="仿宋_GB2312" w:cs="Times New Roman"/>
          <w:b/>
          <w:bCs/>
          <w:spacing w:val="8"/>
          <w:sz w:val="31"/>
          <w:szCs w:val="31"/>
        </w:rPr>
        <w:t>八、国有资本经营预算财政拨款支出决算表</w:t>
      </w:r>
      <w:r>
        <w:drawing>
          <wp:inline distT="0" distB="0" distL="114300" distR="114300">
            <wp:extent cx="5842635" cy="3187065"/>
            <wp:effectExtent l="0" t="0" r="5715" b="1333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26"/>
                    <a:stretch>
                      <a:fillRect/>
                    </a:stretch>
                  </pic:blipFill>
                  <pic:spPr>
                    <a:xfrm>
                      <a:off x="0" y="0"/>
                      <a:ext cx="5842635" cy="3187065"/>
                    </a:xfrm>
                    <a:prstGeom prst="rect">
                      <a:avLst/>
                    </a:prstGeom>
                    <a:noFill/>
                    <a:ln>
                      <a:noFill/>
                    </a:ln>
                  </pic:spPr>
                </pic:pic>
              </a:graphicData>
            </a:graphic>
          </wp:inline>
        </w:drawing>
      </w:r>
    </w:p>
    <w:p w14:paraId="53F2AE29">
      <w:pPr>
        <w:pStyle w:val="2"/>
        <w:spacing w:line="253" w:lineRule="auto"/>
        <w:rPr>
          <w:rFonts w:hint="default" w:ascii="Times New Roman" w:hAnsi="Times New Roman" w:eastAsia="仿宋_GB2312" w:cs="Times New Roman"/>
        </w:rPr>
      </w:pPr>
    </w:p>
    <w:p w14:paraId="45AD9E0B">
      <w:pPr>
        <w:pStyle w:val="2"/>
        <w:spacing w:line="253" w:lineRule="auto"/>
        <w:rPr>
          <w:rFonts w:hint="default" w:ascii="Times New Roman" w:hAnsi="Times New Roman" w:eastAsia="仿宋_GB2312" w:cs="Times New Roman"/>
        </w:rPr>
      </w:pPr>
    </w:p>
    <w:p w14:paraId="0903A302">
      <w:pPr>
        <w:pStyle w:val="2"/>
        <w:spacing w:line="253" w:lineRule="auto"/>
        <w:rPr>
          <w:rFonts w:hint="default" w:ascii="Times New Roman" w:hAnsi="Times New Roman" w:eastAsia="仿宋_GB2312" w:cs="Times New Roman"/>
        </w:rPr>
      </w:pPr>
    </w:p>
    <w:p w14:paraId="611E9747">
      <w:pPr>
        <w:spacing w:line="364" w:lineRule="auto"/>
        <w:rPr>
          <w:rFonts w:hint="default" w:ascii="Times New Roman" w:hAnsi="Times New Roman" w:eastAsia="仿宋_GB2312" w:cs="Times New Roman"/>
          <w:sz w:val="31"/>
          <w:szCs w:val="31"/>
        </w:rPr>
        <w:sectPr>
          <w:footerReference r:id="rId13" w:type="default"/>
          <w:pgSz w:w="11907" w:h="16839"/>
          <w:pgMar w:top="1429" w:right="1644" w:bottom="1151" w:left="1785" w:header="0" w:footer="0" w:gutter="0"/>
          <w:cols w:space="0" w:num="1"/>
          <w:rtlGutter w:val="0"/>
          <w:docGrid w:linePitch="0" w:charSpace="0"/>
        </w:sectPr>
      </w:pPr>
    </w:p>
    <w:p w14:paraId="40EE6CC7">
      <w:pPr>
        <w:pStyle w:val="2"/>
        <w:spacing w:line="339" w:lineRule="auto"/>
        <w:rPr>
          <w:rFonts w:hint="default" w:ascii="Times New Roman" w:hAnsi="Times New Roman" w:eastAsia="仿宋_GB2312" w:cs="Times New Roman"/>
        </w:rPr>
      </w:pPr>
    </w:p>
    <w:p w14:paraId="2A6A57C2">
      <w:pPr>
        <w:pStyle w:val="2"/>
        <w:spacing w:line="340" w:lineRule="auto"/>
        <w:rPr>
          <w:rFonts w:hint="default" w:ascii="Times New Roman" w:hAnsi="Times New Roman" w:eastAsia="仿宋_GB2312" w:cs="Times New Roman"/>
        </w:rPr>
      </w:pPr>
    </w:p>
    <w:p w14:paraId="7903EC3A">
      <w:pPr>
        <w:spacing w:before="101" w:line="224" w:lineRule="auto"/>
        <w:ind w:left="-185" w:leftChars="0" w:firstLine="861" w:firstLineChars="263"/>
        <w:rPr>
          <w:rFonts w:hint="default" w:ascii="Times New Roman" w:hAnsi="Times New Roman" w:eastAsia="仿宋_GB2312" w:cs="Times New Roman"/>
        </w:rPr>
      </w:pPr>
      <w:r>
        <w:rPr>
          <w:rFonts w:hint="default" w:ascii="Times New Roman" w:hAnsi="Times New Roman" w:eastAsia="仿宋_GB2312" w:cs="Times New Roman"/>
          <w:b/>
          <w:bCs/>
          <w:spacing w:val="8"/>
          <w:sz w:val="31"/>
          <w:szCs w:val="31"/>
        </w:rPr>
        <w:t>九、财政拨款“三公”经费支出决算表</w:t>
      </w:r>
      <w:r>
        <w:drawing>
          <wp:inline distT="0" distB="0" distL="114300" distR="114300">
            <wp:extent cx="6065520" cy="2149475"/>
            <wp:effectExtent l="0" t="0" r="11430" b="3175"/>
            <wp:docPr id="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pic:cNvPicPr>
                      <a:picLocks noChangeAspect="1"/>
                    </pic:cNvPicPr>
                  </pic:nvPicPr>
                  <pic:blipFill>
                    <a:blip r:embed="rId27"/>
                    <a:stretch>
                      <a:fillRect/>
                    </a:stretch>
                  </pic:blipFill>
                  <pic:spPr>
                    <a:xfrm>
                      <a:off x="0" y="0"/>
                      <a:ext cx="6065520" cy="2149475"/>
                    </a:xfrm>
                    <a:prstGeom prst="rect">
                      <a:avLst/>
                    </a:prstGeom>
                    <a:noFill/>
                    <a:ln>
                      <a:noFill/>
                    </a:ln>
                  </pic:spPr>
                </pic:pic>
              </a:graphicData>
            </a:graphic>
          </wp:inline>
        </w:drawing>
      </w:r>
    </w:p>
    <w:p w14:paraId="1B27B173">
      <w:pPr>
        <w:spacing w:before="100" w:line="224" w:lineRule="auto"/>
        <w:ind w:left="410" w:leftChars="0" w:firstLine="275" w:firstLineChars="84"/>
        <w:rPr>
          <w:rFonts w:hint="default" w:ascii="Times New Roman" w:hAnsi="Times New Roman" w:eastAsia="仿宋_GB2312" w:cs="Times New Roman"/>
        </w:rPr>
        <w:sectPr>
          <w:footerReference r:id="rId14" w:type="default"/>
          <w:pgSz w:w="11907" w:h="16839"/>
          <w:pgMar w:top="1429" w:right="1644" w:bottom="1151" w:left="1785" w:header="0" w:footer="0" w:gutter="0"/>
          <w:cols w:space="0" w:num="1"/>
          <w:rtlGutter w:val="0"/>
          <w:docGrid w:linePitch="0" w:charSpace="0"/>
        </w:sectPr>
      </w:pPr>
      <w:r>
        <w:rPr>
          <w:rFonts w:hint="default" w:ascii="Times New Roman" w:hAnsi="Times New Roman" w:eastAsia="仿宋_GB2312" w:cs="Times New Roman"/>
          <w:b/>
          <w:bCs/>
          <w:spacing w:val="8"/>
          <w:sz w:val="31"/>
          <w:szCs w:val="31"/>
        </w:rPr>
        <w:t>十、部门预算项目支出绩效自评表</w:t>
      </w:r>
      <w:r>
        <w:drawing>
          <wp:inline distT="0" distB="0" distL="114300" distR="114300">
            <wp:extent cx="4892675" cy="7402195"/>
            <wp:effectExtent l="0" t="0" r="317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28"/>
                    <a:stretch>
                      <a:fillRect/>
                    </a:stretch>
                  </pic:blipFill>
                  <pic:spPr>
                    <a:xfrm>
                      <a:off x="0" y="0"/>
                      <a:ext cx="4892675" cy="7402195"/>
                    </a:xfrm>
                    <a:prstGeom prst="rect">
                      <a:avLst/>
                    </a:prstGeom>
                    <a:noFill/>
                    <a:ln>
                      <a:noFill/>
                    </a:ln>
                  </pic:spPr>
                </pic:pic>
              </a:graphicData>
            </a:graphic>
          </wp:inline>
        </w:drawing>
      </w:r>
    </w:p>
    <w:p w14:paraId="6CF0D1B4">
      <w:pPr>
        <w:spacing w:before="225" w:line="443" w:lineRule="exact"/>
        <w:ind w:firstLine="442" w:firstLineChars="100"/>
        <w:outlineLvl w:val="0"/>
        <w:rPr>
          <w:rFonts w:hint="default" w:ascii="Times New Roman" w:hAnsi="Times New Roman" w:eastAsia="仿宋_GB2312" w:cs="Times New Roman"/>
          <w:b/>
          <w:bCs/>
          <w:sz w:val="43"/>
          <w:szCs w:val="43"/>
        </w:rPr>
      </w:pPr>
      <w:r>
        <w:rPr>
          <w:rFonts w:hint="default" w:ascii="Times New Roman" w:hAnsi="Times New Roman" w:eastAsia="仿宋_GB2312" w:cs="Times New Roman"/>
          <w:b/>
          <w:bCs/>
          <w:spacing w:val="5"/>
          <w:position w:val="-2"/>
          <w:sz w:val="43"/>
          <w:szCs w:val="43"/>
        </w:rPr>
        <w:t>第三部分</w:t>
      </w:r>
      <w:r>
        <w:rPr>
          <w:rFonts w:hint="default" w:ascii="Times New Roman" w:hAnsi="Times New Roman" w:eastAsia="仿宋_GB2312" w:cs="Times New Roman"/>
          <w:b/>
          <w:bCs/>
          <w:spacing w:val="103"/>
          <w:position w:val="-2"/>
          <w:sz w:val="43"/>
          <w:szCs w:val="43"/>
        </w:rPr>
        <w:t xml:space="preserve"> </w:t>
      </w:r>
      <w:r>
        <w:rPr>
          <w:rFonts w:hint="default" w:ascii="Times New Roman" w:hAnsi="Times New Roman" w:eastAsia="仿宋_GB2312" w:cs="Times New Roman"/>
          <w:b/>
          <w:bCs/>
          <w:spacing w:val="5"/>
          <w:position w:val="-2"/>
          <w:sz w:val="43"/>
          <w:szCs w:val="43"/>
        </w:rPr>
        <w:t>2023年度部门决算情况说明</w:t>
      </w:r>
    </w:p>
    <w:p w14:paraId="2C2FF72F">
      <w:pPr>
        <w:pStyle w:val="2"/>
        <w:spacing w:line="314" w:lineRule="auto"/>
        <w:rPr>
          <w:rFonts w:hint="default" w:ascii="Times New Roman" w:hAnsi="Times New Roman" w:eastAsia="仿宋_GB2312" w:cs="Times New Roman"/>
        </w:rPr>
      </w:pPr>
    </w:p>
    <w:p w14:paraId="144C50D4">
      <w:pPr>
        <w:pStyle w:val="2"/>
        <w:spacing w:line="314" w:lineRule="auto"/>
        <w:rPr>
          <w:rFonts w:hint="default" w:ascii="Times New Roman" w:hAnsi="Times New Roman" w:eastAsia="仿宋_GB2312" w:cs="Times New Roman"/>
        </w:rPr>
      </w:pPr>
    </w:p>
    <w:p w14:paraId="21F70715">
      <w:pPr>
        <w:pStyle w:val="2"/>
        <w:spacing w:line="315" w:lineRule="auto"/>
        <w:rPr>
          <w:rFonts w:hint="default" w:ascii="Times New Roman" w:hAnsi="Times New Roman" w:eastAsia="仿宋_GB2312" w:cs="Times New Roman"/>
        </w:rPr>
      </w:pPr>
    </w:p>
    <w:p w14:paraId="04DCE79A">
      <w:pPr>
        <w:spacing w:before="101"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一、收入支出决算总体情况说明</w:t>
      </w:r>
    </w:p>
    <w:p w14:paraId="735F6F09">
      <w:pPr>
        <w:spacing w:before="248" w:line="362" w:lineRule="auto"/>
        <w:ind w:left="36" w:right="113" w:firstLine="634"/>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4"/>
          <w:sz w:val="31"/>
          <w:szCs w:val="31"/>
        </w:rPr>
        <w:t xml:space="preserve">年度收、支总计均为  </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万元。与</w:t>
      </w:r>
      <w:r>
        <w:rPr>
          <w:rFonts w:hint="default" w:ascii="Times New Roman" w:hAnsi="Times New Roman" w:eastAsia="仿宋_GB2312" w:cs="Times New Roman"/>
          <w:spacing w:val="-32"/>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35"/>
          <w:sz w:val="31"/>
          <w:szCs w:val="31"/>
        </w:rPr>
        <w:t xml:space="preserve"> </w:t>
      </w:r>
      <w:r>
        <w:rPr>
          <w:rFonts w:hint="default" w:ascii="Times New Roman" w:hAnsi="Times New Roman" w:eastAsia="仿宋_GB2312" w:cs="Times New Roman"/>
          <w:spacing w:val="4"/>
          <w:sz w:val="31"/>
          <w:szCs w:val="31"/>
        </w:rPr>
        <w:t>年度相比，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收、支总计各增加</w:t>
      </w:r>
      <w:r>
        <w:rPr>
          <w:rFonts w:hint="eastAsia" w:ascii="Times New Roman" w:hAnsi="Times New Roman" w:eastAsia="仿宋_GB2312" w:cs="Times New Roman"/>
          <w:spacing w:val="4"/>
          <w:sz w:val="31"/>
          <w:szCs w:val="31"/>
          <w:lang w:val="en-US" w:eastAsia="zh-CN"/>
        </w:rPr>
        <w:t>20.3</w:t>
      </w:r>
      <w:r>
        <w:rPr>
          <w:rFonts w:hint="default" w:ascii="Times New Roman" w:hAnsi="Times New Roman" w:eastAsia="仿宋_GB2312" w:cs="Times New Roman"/>
          <w:spacing w:val="32"/>
          <w:sz w:val="31"/>
          <w:szCs w:val="31"/>
        </w:rPr>
        <w:t xml:space="preserve"> </w:t>
      </w:r>
      <w:r>
        <w:rPr>
          <w:rFonts w:hint="default" w:ascii="Times New Roman" w:hAnsi="Times New Roman" w:eastAsia="仿宋_GB2312" w:cs="Times New Roman"/>
          <w:spacing w:val="4"/>
          <w:sz w:val="31"/>
          <w:szCs w:val="31"/>
        </w:rPr>
        <w:t>万元，增长</w:t>
      </w:r>
      <w:r>
        <w:rPr>
          <w:rFonts w:hint="eastAsia" w:ascii="Times New Roman" w:hAnsi="Times New Roman" w:eastAsia="仿宋_GB2312" w:cs="Times New Roman"/>
          <w:spacing w:val="4"/>
          <w:sz w:val="31"/>
          <w:szCs w:val="31"/>
          <w:lang w:val="en-US" w:eastAsia="zh-CN"/>
        </w:rPr>
        <w:t>0.85</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0"/>
          <w:sz w:val="31"/>
          <w:szCs w:val="31"/>
        </w:rPr>
        <w:t>要原因：</w:t>
      </w:r>
      <w:r>
        <w:rPr>
          <w:rFonts w:hint="eastAsia" w:ascii="Times New Roman" w:hAnsi="Times New Roman" w:eastAsia="仿宋_GB2312" w:cs="Times New Roman"/>
          <w:spacing w:val="-10"/>
          <w:sz w:val="31"/>
          <w:szCs w:val="31"/>
          <w:lang w:val="en-US" w:eastAsia="zh-CN"/>
        </w:rPr>
        <w:t>人员变动。</w:t>
      </w:r>
    </w:p>
    <w:p w14:paraId="4DB7E75E">
      <w:pPr>
        <w:pStyle w:val="2"/>
        <w:spacing w:line="260" w:lineRule="auto"/>
        <w:rPr>
          <w:rFonts w:hint="default" w:ascii="Times New Roman" w:hAnsi="Times New Roman" w:eastAsia="仿宋_GB2312" w:cs="Times New Roman"/>
        </w:rPr>
      </w:pPr>
    </w:p>
    <w:p w14:paraId="08EBC56B">
      <w:pPr>
        <w:spacing w:before="50"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二、收入决算情况说明</w:t>
      </w:r>
    </w:p>
    <w:p w14:paraId="61660C66">
      <w:pPr>
        <w:spacing w:before="253" w:line="368" w:lineRule="auto"/>
        <w:ind w:left="23" w:firstLine="644"/>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 xml:space="preserve">本年收入合计 </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 xml:space="preserve"> 万元，其中：财政拨款收入</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2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上年增加</w:t>
      </w:r>
      <w:r>
        <w:rPr>
          <w:rFonts w:hint="eastAsia" w:ascii="Times New Roman" w:hAnsi="Times New Roman" w:eastAsia="仿宋_GB2312" w:cs="Times New Roman"/>
          <w:spacing w:val="6"/>
          <w:sz w:val="31"/>
          <w:szCs w:val="31"/>
          <w:lang w:val="en-US" w:eastAsia="zh-CN"/>
        </w:rPr>
        <w:t>20.3</w:t>
      </w:r>
      <w:r>
        <w:rPr>
          <w:rFonts w:hint="default" w:ascii="Times New Roman" w:hAnsi="Times New Roman" w:eastAsia="仿宋_GB2312" w:cs="Times New Roman"/>
          <w:spacing w:val="6"/>
          <w:sz w:val="31"/>
          <w:szCs w:val="31"/>
        </w:rPr>
        <w:t>万元，增长</w:t>
      </w:r>
      <w:r>
        <w:rPr>
          <w:rFonts w:hint="eastAsia" w:ascii="Times New Roman" w:hAnsi="Times New Roman" w:eastAsia="仿宋_GB2312" w:cs="Times New Roman"/>
          <w:spacing w:val="6"/>
          <w:sz w:val="31"/>
          <w:szCs w:val="31"/>
          <w:lang w:val="en-US" w:eastAsia="zh-CN"/>
        </w:rPr>
        <w:t>0.85</w:t>
      </w:r>
      <w:r>
        <w:rPr>
          <w:rFonts w:hint="default" w:ascii="Times New Roman" w:hAnsi="Times New Roman" w:eastAsia="仿宋_GB2312" w:cs="Times New Roman"/>
          <w:spacing w:val="6"/>
          <w:sz w:val="31"/>
          <w:szCs w:val="31"/>
        </w:rPr>
        <w:t xml:space="preserve"> %，主要是</w:t>
      </w:r>
      <w:r>
        <w:rPr>
          <w:rFonts w:hint="default" w:ascii="Times New Roman" w:hAnsi="Times New Roman" w:eastAsia="仿宋_GB2312" w:cs="Times New Roman"/>
          <w:spacing w:val="-94"/>
          <w:sz w:val="31"/>
          <w:szCs w:val="31"/>
        </w:rPr>
        <w:t xml:space="preserve"> </w:t>
      </w:r>
      <w:r>
        <w:rPr>
          <w:rFonts w:hint="eastAsia" w:ascii="Times New Roman" w:hAnsi="Times New Roman" w:eastAsia="仿宋_GB2312" w:cs="Times New Roman"/>
          <w:spacing w:val="-10"/>
          <w:sz w:val="31"/>
          <w:szCs w:val="31"/>
          <w:lang w:val="en-US" w:eastAsia="zh-CN"/>
        </w:rPr>
        <w:t>抚恤金支出增加</w:t>
      </w:r>
      <w:r>
        <w:rPr>
          <w:rFonts w:hint="default" w:ascii="Times New Roman" w:hAnsi="Times New Roman" w:eastAsia="仿宋_GB2312" w:cs="Times New Roman"/>
          <w:spacing w:val="6"/>
          <w:sz w:val="31"/>
          <w:szCs w:val="31"/>
        </w:rPr>
        <w:t>；上</w:t>
      </w:r>
      <w:r>
        <w:rPr>
          <w:rFonts w:hint="default" w:ascii="Times New Roman" w:hAnsi="Times New Roman" w:eastAsia="仿宋_GB2312" w:cs="Times New Roman"/>
          <w:spacing w:val="-15"/>
          <w:sz w:val="31"/>
          <w:szCs w:val="31"/>
        </w:rPr>
        <w:t>级补助收入</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15"/>
          <w:sz w:val="31"/>
          <w:szCs w:val="31"/>
        </w:rPr>
        <w:t>万元，比上年增加</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15"/>
          <w:sz w:val="31"/>
          <w:szCs w:val="31"/>
        </w:rPr>
        <w:t>万元，增长</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pacing w:val="4"/>
          <w:sz w:val="31"/>
          <w:szCs w:val="31"/>
        </w:rPr>
        <w:t xml:space="preserve">；事业收入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%；经营收入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pacing w:val="3"/>
          <w:sz w:val="31"/>
          <w:szCs w:val="31"/>
        </w:rPr>
        <w:t>上年增</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加</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万元，增长</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6"/>
          <w:sz w:val="31"/>
          <w:szCs w:val="31"/>
        </w:rPr>
        <w:t>；附属单位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 xml:space="preserve">上缴收入  </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万元，比上年增加</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万元，增长</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pacing w:val="4"/>
          <w:sz w:val="31"/>
          <w:szCs w:val="31"/>
        </w:rPr>
        <w:t xml:space="preserve">；其他收入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w:t>
      </w:r>
    </w:p>
    <w:p w14:paraId="3F8FDB68">
      <w:pPr>
        <w:spacing w:before="158" w:line="224" w:lineRule="auto"/>
        <w:ind w:left="674"/>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三、支出决算情况说明</w:t>
      </w:r>
    </w:p>
    <w:p w14:paraId="2C88BCBC">
      <w:pPr>
        <w:spacing w:before="251" w:line="368" w:lineRule="auto"/>
        <w:ind w:left="21" w:firstLine="64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 xml:space="preserve">本年支出合计 </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 xml:space="preserve"> 万元，其中：基本支出</w:t>
      </w:r>
      <w:r>
        <w:rPr>
          <w:rFonts w:hint="default" w:ascii="Times New Roman" w:hAnsi="Times New Roman" w:eastAsia="仿宋_GB2312" w:cs="Times New Roman"/>
          <w:spacing w:val="24"/>
          <w:sz w:val="31"/>
          <w:szCs w:val="31"/>
        </w:rPr>
        <w:t xml:space="preserve"> </w:t>
      </w:r>
      <w:r>
        <w:rPr>
          <w:rFonts w:hint="eastAsia" w:ascii="Times New Roman" w:hAnsi="Times New Roman" w:eastAsia="仿宋_GB2312" w:cs="Times New Roman"/>
          <w:spacing w:val="24"/>
          <w:sz w:val="31"/>
          <w:szCs w:val="31"/>
          <w:lang w:val="en-US" w:eastAsia="zh-CN"/>
        </w:rPr>
        <w:t>2345.84</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比上年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增加</w:t>
      </w:r>
      <w:r>
        <w:rPr>
          <w:rFonts w:hint="eastAsia" w:ascii="Times New Roman" w:hAnsi="Times New Roman" w:eastAsia="仿宋_GB2312" w:cs="Times New Roman"/>
          <w:spacing w:val="7"/>
          <w:sz w:val="31"/>
          <w:szCs w:val="31"/>
          <w:lang w:val="en-US" w:eastAsia="zh-CN"/>
        </w:rPr>
        <w:t>91.72</w:t>
      </w:r>
      <w:r>
        <w:rPr>
          <w:rFonts w:hint="default" w:ascii="Times New Roman" w:hAnsi="Times New Roman" w:eastAsia="仿宋_GB2312" w:cs="Times New Roman"/>
          <w:spacing w:val="7"/>
          <w:sz w:val="31"/>
          <w:szCs w:val="31"/>
        </w:rPr>
        <w:t>万元，增长</w:t>
      </w:r>
      <w:r>
        <w:rPr>
          <w:rFonts w:hint="eastAsia" w:ascii="Times New Roman" w:hAnsi="Times New Roman" w:eastAsia="仿宋_GB2312" w:cs="Times New Roman"/>
          <w:spacing w:val="7"/>
          <w:sz w:val="31"/>
          <w:szCs w:val="31"/>
          <w:lang w:val="en-US" w:eastAsia="zh-CN"/>
        </w:rPr>
        <w:t>4.06</w:t>
      </w:r>
      <w:r>
        <w:rPr>
          <w:rFonts w:hint="default" w:ascii="Times New Roman" w:hAnsi="Times New Roman" w:eastAsia="仿宋_GB2312" w:cs="Times New Roman"/>
          <w:spacing w:val="7"/>
          <w:sz w:val="31"/>
          <w:szCs w:val="31"/>
        </w:rPr>
        <w:t xml:space="preserve"> %，主要是</w:t>
      </w:r>
      <w:r>
        <w:rPr>
          <w:rFonts w:hint="eastAsia" w:ascii="Times New Roman" w:hAnsi="Times New Roman" w:eastAsia="仿宋_GB2312" w:cs="Times New Roman"/>
          <w:spacing w:val="7"/>
          <w:sz w:val="31"/>
          <w:szCs w:val="31"/>
          <w:lang w:val="en-US" w:eastAsia="zh-CN"/>
        </w:rPr>
        <w:t>人员变动</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项目支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出</w:t>
      </w:r>
      <w:r>
        <w:rPr>
          <w:rFonts w:hint="eastAsia" w:ascii="Times New Roman" w:hAnsi="Times New Roman" w:eastAsia="仿宋_GB2312" w:cs="Times New Roman"/>
          <w:spacing w:val="3"/>
          <w:sz w:val="31"/>
          <w:szCs w:val="31"/>
          <w:lang w:val="en-US" w:eastAsia="zh-CN"/>
        </w:rPr>
        <w:t>53.74</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比上年减少</w:t>
      </w:r>
      <w:r>
        <w:rPr>
          <w:rFonts w:hint="eastAsia" w:ascii="Times New Roman" w:hAnsi="Times New Roman" w:eastAsia="仿宋_GB2312" w:cs="Times New Roman"/>
          <w:spacing w:val="3"/>
          <w:sz w:val="31"/>
          <w:szCs w:val="31"/>
          <w:lang w:val="en-US" w:eastAsia="zh-CN"/>
        </w:rPr>
        <w:t>71.42</w:t>
      </w:r>
      <w:r>
        <w:rPr>
          <w:rFonts w:hint="default" w:ascii="Times New Roman" w:hAnsi="Times New Roman" w:eastAsia="仿宋_GB2312" w:cs="Times New Roman"/>
          <w:spacing w:val="3"/>
          <w:sz w:val="31"/>
          <w:szCs w:val="31"/>
        </w:rPr>
        <w:t>万元，下降</w:t>
      </w:r>
      <w:r>
        <w:rPr>
          <w:rFonts w:hint="eastAsia" w:ascii="Times New Roman" w:hAnsi="Times New Roman" w:eastAsia="仿宋_GB2312" w:cs="Times New Roman"/>
          <w:spacing w:val="3"/>
          <w:sz w:val="31"/>
          <w:szCs w:val="31"/>
          <w:lang w:val="en-US" w:eastAsia="zh-CN"/>
        </w:rPr>
        <w:t>57.06</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2"/>
          <w:sz w:val="31"/>
          <w:szCs w:val="31"/>
        </w:rPr>
        <w:t xml:space="preserve">；上缴上级支出 </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万元，比上年增加</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增长</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2"/>
          <w:sz w:val="31"/>
          <w:szCs w:val="31"/>
        </w:rPr>
        <w:t>；经营支出</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万元，</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
          <w:sz w:val="31"/>
          <w:szCs w:val="31"/>
        </w:rPr>
        <w:t>比上年增</w:t>
      </w:r>
      <w:r>
        <w:rPr>
          <w:rFonts w:hint="default" w:ascii="Times New Roman" w:hAnsi="Times New Roman" w:eastAsia="仿宋_GB2312" w:cs="Times New Roman"/>
          <w:spacing w:val="7"/>
          <w:sz w:val="31"/>
          <w:szCs w:val="31"/>
        </w:rPr>
        <w:t>加</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万元，增长</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；对附属单</w:t>
      </w:r>
      <w:r>
        <w:rPr>
          <w:rFonts w:hint="default" w:ascii="Times New Roman" w:hAnsi="Times New Roman" w:eastAsia="仿宋_GB2312" w:cs="Times New Roman"/>
          <w:spacing w:val="-15"/>
          <w:sz w:val="31"/>
          <w:szCs w:val="31"/>
        </w:rPr>
        <w:t>位补助支出</w:t>
      </w:r>
      <w:r>
        <w:rPr>
          <w:rFonts w:hint="default" w:ascii="Times New Roman" w:hAnsi="Times New Roman" w:eastAsia="仿宋_GB2312" w:cs="Times New Roman"/>
          <w:spacing w:val="45"/>
          <w:sz w:val="31"/>
          <w:szCs w:val="31"/>
        </w:rPr>
        <w:t xml:space="preserve"> </w:t>
      </w:r>
      <w:r>
        <w:rPr>
          <w:rFonts w:hint="eastAsia" w:ascii="Times New Roman" w:hAnsi="Times New Roman" w:eastAsia="仿宋_GB2312" w:cs="Times New Roman"/>
          <w:spacing w:val="45"/>
          <w:sz w:val="31"/>
          <w:szCs w:val="31"/>
          <w:lang w:val="en-US" w:eastAsia="zh-CN"/>
        </w:rPr>
        <w:t>0</w:t>
      </w:r>
      <w:r>
        <w:rPr>
          <w:rFonts w:hint="default" w:ascii="Times New Roman" w:hAnsi="Times New Roman" w:eastAsia="仿宋_GB2312" w:cs="Times New Roman"/>
          <w:spacing w:val="-15"/>
          <w:sz w:val="31"/>
          <w:szCs w:val="31"/>
        </w:rPr>
        <w:t>万元，比上年增加</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15"/>
          <w:sz w:val="31"/>
          <w:szCs w:val="31"/>
        </w:rPr>
        <w:t>万元，增长</w:t>
      </w:r>
      <w:r>
        <w:rPr>
          <w:rFonts w:hint="eastAsia" w:ascii="Times New Roman" w:hAnsi="Times New Roman" w:eastAsia="仿宋_GB2312" w:cs="Times New Roman"/>
          <w:spacing w:val="-15"/>
          <w:sz w:val="31"/>
          <w:szCs w:val="31"/>
          <w:lang w:val="en-US" w:eastAsia="zh-CN"/>
        </w:rPr>
        <w:t xml:space="preserve">0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pacing w:val="-2"/>
          <w:sz w:val="31"/>
          <w:szCs w:val="31"/>
        </w:rPr>
        <w:t>。</w:t>
      </w:r>
    </w:p>
    <w:p w14:paraId="375370F3">
      <w:pPr>
        <w:pStyle w:val="2"/>
        <w:spacing w:line="285" w:lineRule="auto"/>
        <w:rPr>
          <w:rFonts w:hint="default" w:ascii="Times New Roman" w:hAnsi="Times New Roman" w:eastAsia="仿宋_GB2312" w:cs="Times New Roman"/>
        </w:rPr>
      </w:pPr>
    </w:p>
    <w:p w14:paraId="23BC4F3F">
      <w:pPr>
        <w:pStyle w:val="2"/>
        <w:spacing w:line="285" w:lineRule="auto"/>
        <w:rPr>
          <w:rFonts w:hint="default" w:ascii="Times New Roman" w:hAnsi="Times New Roman" w:eastAsia="仿宋_GB2312" w:cs="Times New Roman"/>
        </w:rPr>
      </w:pPr>
    </w:p>
    <w:p w14:paraId="3A58C729">
      <w:pPr>
        <w:spacing w:before="101" w:line="224" w:lineRule="auto"/>
        <w:ind w:left="68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四、财政拨款收入支出决算总体情况说明</w:t>
      </w:r>
    </w:p>
    <w:p w14:paraId="1BEF475E">
      <w:pPr>
        <w:spacing w:before="251" w:line="368" w:lineRule="auto"/>
        <w:ind w:left="21" w:firstLine="645"/>
        <w:rPr>
          <w:rFonts w:hint="default" w:ascii="Times New Roman" w:hAnsi="Times New Roman" w:eastAsia="仿宋_GB2312" w:cs="Times New Roman"/>
        </w:rPr>
      </w:pPr>
      <w:r>
        <w:rPr>
          <w:rFonts w:hint="default" w:ascii="Times New Roman" w:hAnsi="Times New Roman" w:eastAsia="仿宋_GB2312" w:cs="Times New Roman"/>
          <w:spacing w:val="4"/>
          <w:sz w:val="31"/>
          <w:szCs w:val="31"/>
        </w:rPr>
        <w:t>2023 年度财政拨款收、支总计均为</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 xml:space="preserve"> 万元，与 2022 年相比，财政拨款收、支总计各增加</w:t>
      </w:r>
      <w:r>
        <w:rPr>
          <w:rFonts w:hint="eastAsia" w:ascii="Times New Roman" w:hAnsi="Times New Roman" w:eastAsia="仿宋_GB2312" w:cs="Times New Roman"/>
          <w:spacing w:val="4"/>
          <w:sz w:val="31"/>
          <w:szCs w:val="31"/>
          <w:lang w:val="en-US" w:eastAsia="zh-CN"/>
        </w:rPr>
        <w:t>20.3</w:t>
      </w:r>
      <w:r>
        <w:rPr>
          <w:rFonts w:hint="default" w:ascii="Times New Roman" w:hAnsi="Times New Roman" w:eastAsia="仿宋_GB2312" w:cs="Times New Roman"/>
          <w:spacing w:val="4"/>
          <w:sz w:val="31"/>
          <w:szCs w:val="31"/>
        </w:rPr>
        <w:t xml:space="preserve"> 万元，增长</w:t>
      </w:r>
      <w:r>
        <w:rPr>
          <w:rFonts w:hint="eastAsia" w:ascii="Times New Roman" w:hAnsi="Times New Roman" w:eastAsia="仿宋_GB2312" w:cs="Times New Roman"/>
          <w:spacing w:val="4"/>
          <w:sz w:val="31"/>
          <w:szCs w:val="31"/>
          <w:lang w:val="en-US" w:eastAsia="zh-CN"/>
        </w:rPr>
        <w:t>0.85</w:t>
      </w:r>
      <w:r>
        <w:rPr>
          <w:rFonts w:hint="default" w:ascii="Times New Roman" w:hAnsi="Times New Roman" w:eastAsia="仿宋_GB2312" w:cs="Times New Roman"/>
          <w:spacing w:val="4"/>
          <w:sz w:val="31"/>
          <w:szCs w:val="31"/>
        </w:rPr>
        <w:t>%。主要原因 :</w:t>
      </w:r>
      <w:r>
        <w:rPr>
          <w:rFonts w:hint="eastAsia" w:ascii="Times New Roman" w:hAnsi="Times New Roman" w:eastAsia="仿宋_GB2312" w:cs="Times New Roman"/>
          <w:spacing w:val="4"/>
          <w:sz w:val="31"/>
          <w:szCs w:val="31"/>
          <w:lang w:val="en-US" w:eastAsia="zh-CN"/>
        </w:rPr>
        <w:t>人员变动。</w:t>
      </w:r>
    </w:p>
    <w:p w14:paraId="7E9B64F8">
      <w:pPr>
        <w:spacing w:before="101" w:line="224" w:lineRule="auto"/>
        <w:ind w:left="67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43060181">
      <w:pPr>
        <w:spacing w:before="248" w:line="223" w:lineRule="auto"/>
        <w:ind w:left="662"/>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b/>
          <w:bCs/>
          <w:spacing w:val="-1"/>
          <w:sz w:val="31"/>
          <w:szCs w:val="31"/>
        </w:rPr>
        <w:t>一</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b/>
          <w:bCs/>
          <w:spacing w:val="-1"/>
          <w:sz w:val="31"/>
          <w:szCs w:val="31"/>
        </w:rPr>
        <w:t>）一般公共预算财政拨款支出决算总体情况</w:t>
      </w:r>
    </w:p>
    <w:p w14:paraId="674E6E16">
      <w:pPr>
        <w:spacing w:before="251" w:line="368" w:lineRule="auto"/>
        <w:ind w:left="21" w:firstLine="645"/>
        <w:rPr>
          <w:rFonts w:hint="eastAsia" w:ascii="Times New Roman" w:hAnsi="Times New Roman" w:eastAsia="仿宋_GB2312" w:cs="Times New Roman"/>
          <w:spacing w:val="4"/>
          <w:sz w:val="31"/>
          <w:szCs w:val="31"/>
          <w:lang w:val="en-US" w:eastAsia="zh-CN"/>
        </w:rPr>
      </w:pPr>
      <w:r>
        <w:rPr>
          <w:rFonts w:hint="default" w:ascii="Times New Roman" w:hAnsi="Times New Roman" w:eastAsia="仿宋_GB2312" w:cs="Times New Roman"/>
          <w:spacing w:val="4"/>
          <w:sz w:val="31"/>
          <w:szCs w:val="31"/>
        </w:rPr>
        <w:t>2023 年度一般公共预算财政拨款支出</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 xml:space="preserve">万元，占本年支出合计的 </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%。与 2022 年度相比，一般公共预算财政拨款支 出增加</w:t>
      </w:r>
      <w:r>
        <w:rPr>
          <w:rFonts w:hint="eastAsia" w:ascii="Times New Roman" w:hAnsi="Times New Roman" w:eastAsia="仿宋_GB2312" w:cs="Times New Roman"/>
          <w:spacing w:val="4"/>
          <w:sz w:val="31"/>
          <w:szCs w:val="31"/>
          <w:lang w:val="en-US" w:eastAsia="zh-CN"/>
        </w:rPr>
        <w:t>20.3</w:t>
      </w:r>
      <w:r>
        <w:rPr>
          <w:rFonts w:hint="default" w:ascii="Times New Roman" w:hAnsi="Times New Roman" w:eastAsia="仿宋_GB2312" w:cs="Times New Roman"/>
          <w:spacing w:val="4"/>
          <w:sz w:val="31"/>
          <w:szCs w:val="31"/>
        </w:rPr>
        <w:t>万元，增长</w:t>
      </w:r>
      <w:r>
        <w:rPr>
          <w:rFonts w:hint="eastAsia" w:ascii="Times New Roman" w:hAnsi="Times New Roman" w:eastAsia="仿宋_GB2312" w:cs="Times New Roman"/>
          <w:spacing w:val="4"/>
          <w:sz w:val="31"/>
          <w:szCs w:val="31"/>
          <w:lang w:val="en-US" w:eastAsia="zh-CN"/>
        </w:rPr>
        <w:t>0.85</w:t>
      </w:r>
      <w:r>
        <w:rPr>
          <w:rFonts w:hint="default" w:ascii="Times New Roman" w:hAnsi="Times New Roman" w:eastAsia="仿宋_GB2312" w:cs="Times New Roman"/>
          <w:spacing w:val="4"/>
          <w:sz w:val="31"/>
          <w:szCs w:val="31"/>
        </w:rPr>
        <w:t>%。主要原因：</w:t>
      </w:r>
      <w:r>
        <w:rPr>
          <w:rFonts w:hint="eastAsia" w:ascii="Times New Roman" w:hAnsi="Times New Roman" w:eastAsia="仿宋_GB2312" w:cs="Times New Roman"/>
          <w:spacing w:val="4"/>
          <w:sz w:val="31"/>
          <w:szCs w:val="31"/>
          <w:lang w:val="en-US" w:eastAsia="zh-CN"/>
        </w:rPr>
        <w:t>人员变动。</w:t>
      </w:r>
    </w:p>
    <w:p w14:paraId="2A7EBC76">
      <w:pPr>
        <w:spacing w:before="248" w:line="223" w:lineRule="auto"/>
        <w:ind w:left="662"/>
        <w:outlineLvl w:val="2"/>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（二） 一般公共预算财政拨款支出决算结构情况</w:t>
      </w:r>
    </w:p>
    <w:p w14:paraId="59F5F653">
      <w:pPr>
        <w:spacing w:before="251" w:line="368" w:lineRule="auto"/>
        <w:ind w:left="21" w:firstLine="645"/>
        <w:rPr>
          <w:rFonts w:hint="default" w:ascii="Times New Roman" w:hAnsi="Times New Roman" w:eastAsia="仿宋_GB2312" w:cs="Times New Roman"/>
          <w:spacing w:val="4"/>
          <w:sz w:val="31"/>
          <w:szCs w:val="31"/>
        </w:rPr>
      </w:pPr>
      <w:r>
        <w:rPr>
          <w:rFonts w:hint="default" w:ascii="Times New Roman" w:hAnsi="Times New Roman" w:eastAsia="仿宋_GB2312" w:cs="Times New Roman"/>
          <w:spacing w:val="4"/>
          <w:sz w:val="31"/>
          <w:szCs w:val="31"/>
        </w:rPr>
        <w:t>2023 年度一般公共预算财政拨款支出</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 xml:space="preserve"> 万元，主要用于以下方面：一般公共服务支出</w:t>
      </w:r>
      <w:r>
        <w:rPr>
          <w:rFonts w:hint="eastAsia" w:ascii="Times New Roman" w:hAnsi="Times New Roman" w:eastAsia="仿宋_GB2312" w:cs="Times New Roman"/>
          <w:spacing w:val="4"/>
          <w:sz w:val="31"/>
          <w:szCs w:val="31"/>
          <w:lang w:val="en-US" w:eastAsia="zh-CN"/>
        </w:rPr>
        <w:t>2024.38</w:t>
      </w:r>
      <w:r>
        <w:rPr>
          <w:rFonts w:hint="default" w:ascii="Times New Roman" w:hAnsi="Times New Roman" w:eastAsia="仿宋_GB2312" w:cs="Times New Roman"/>
          <w:spacing w:val="4"/>
          <w:sz w:val="31"/>
          <w:szCs w:val="31"/>
        </w:rPr>
        <w:t>万元，占</w:t>
      </w:r>
      <w:r>
        <w:rPr>
          <w:rFonts w:hint="eastAsia" w:ascii="Times New Roman" w:hAnsi="Times New Roman" w:eastAsia="仿宋_GB2312" w:cs="Times New Roman"/>
          <w:spacing w:val="4"/>
          <w:sz w:val="31"/>
          <w:szCs w:val="31"/>
          <w:lang w:val="en-US" w:eastAsia="zh-CN"/>
        </w:rPr>
        <w:t>84.36</w:t>
      </w:r>
      <w:r>
        <w:rPr>
          <w:rFonts w:hint="default" w:ascii="Times New Roman" w:hAnsi="Times New Roman" w:eastAsia="仿宋_GB2312" w:cs="Times New Roman"/>
          <w:spacing w:val="4"/>
          <w:sz w:val="31"/>
          <w:szCs w:val="31"/>
        </w:rPr>
        <w:t xml:space="preserve"> %</w:t>
      </w:r>
      <w:r>
        <w:rPr>
          <w:rFonts w:hint="eastAsia" w:ascii="Times New Roman" w:hAnsi="Times New Roman" w:eastAsia="仿宋_GB2312" w:cs="Times New Roman"/>
          <w:spacing w:val="4"/>
          <w:sz w:val="31"/>
          <w:szCs w:val="31"/>
          <w:lang w:eastAsia="zh-CN"/>
        </w:rPr>
        <w:t>；</w:t>
      </w:r>
      <w:r>
        <w:rPr>
          <w:rFonts w:hint="default" w:ascii="Times New Roman" w:hAnsi="Times New Roman" w:eastAsia="仿宋_GB2312" w:cs="Times New Roman"/>
          <w:spacing w:val="4"/>
          <w:sz w:val="31"/>
          <w:szCs w:val="31"/>
        </w:rPr>
        <w:t>社会保障和就业（类）支出</w:t>
      </w:r>
      <w:r>
        <w:rPr>
          <w:rFonts w:hint="eastAsia" w:ascii="Times New Roman" w:hAnsi="Times New Roman" w:eastAsia="仿宋_GB2312" w:cs="Times New Roman"/>
          <w:spacing w:val="4"/>
          <w:sz w:val="31"/>
          <w:szCs w:val="31"/>
          <w:lang w:val="en-US" w:eastAsia="zh-CN"/>
        </w:rPr>
        <w:t>183.53</w:t>
      </w:r>
      <w:r>
        <w:rPr>
          <w:rFonts w:hint="default" w:ascii="Times New Roman" w:hAnsi="Times New Roman" w:eastAsia="仿宋_GB2312" w:cs="Times New Roman"/>
          <w:spacing w:val="4"/>
          <w:sz w:val="31"/>
          <w:szCs w:val="31"/>
        </w:rPr>
        <w:t>万元，占</w:t>
      </w:r>
      <w:r>
        <w:rPr>
          <w:rFonts w:hint="eastAsia" w:ascii="Times New Roman" w:hAnsi="Times New Roman" w:eastAsia="仿宋_GB2312" w:cs="Times New Roman"/>
          <w:spacing w:val="4"/>
          <w:sz w:val="31"/>
          <w:szCs w:val="31"/>
          <w:lang w:val="en-US" w:eastAsia="zh-CN"/>
        </w:rPr>
        <w:t>7.65</w:t>
      </w:r>
      <w:r>
        <w:rPr>
          <w:rFonts w:hint="default" w:ascii="Times New Roman" w:hAnsi="Times New Roman" w:eastAsia="仿宋_GB2312" w:cs="Times New Roman"/>
          <w:spacing w:val="4"/>
          <w:sz w:val="31"/>
          <w:szCs w:val="31"/>
        </w:rPr>
        <w:t>%；卫生健康支出（类）支出</w:t>
      </w:r>
      <w:r>
        <w:rPr>
          <w:rFonts w:hint="eastAsia" w:ascii="Times New Roman" w:hAnsi="Times New Roman" w:eastAsia="仿宋_GB2312" w:cs="Times New Roman"/>
          <w:spacing w:val="4"/>
          <w:sz w:val="31"/>
          <w:szCs w:val="31"/>
          <w:lang w:val="en-US" w:eastAsia="zh-CN"/>
        </w:rPr>
        <w:t>72.47</w:t>
      </w:r>
      <w:r>
        <w:rPr>
          <w:rFonts w:hint="default" w:ascii="Times New Roman" w:hAnsi="Times New Roman" w:eastAsia="仿宋_GB2312" w:cs="Times New Roman"/>
          <w:spacing w:val="4"/>
          <w:sz w:val="31"/>
          <w:szCs w:val="31"/>
        </w:rPr>
        <w:t>万元，占</w:t>
      </w:r>
      <w:r>
        <w:rPr>
          <w:rFonts w:hint="eastAsia" w:ascii="Times New Roman" w:hAnsi="Times New Roman" w:eastAsia="仿宋_GB2312" w:cs="Times New Roman"/>
          <w:spacing w:val="4"/>
          <w:sz w:val="31"/>
          <w:szCs w:val="31"/>
          <w:lang w:val="en-US" w:eastAsia="zh-CN"/>
        </w:rPr>
        <w:t>3.02</w:t>
      </w:r>
      <w:r>
        <w:rPr>
          <w:rFonts w:hint="default" w:ascii="Times New Roman" w:hAnsi="Times New Roman" w:eastAsia="仿宋_GB2312" w:cs="Times New Roman"/>
          <w:spacing w:val="4"/>
          <w:sz w:val="31"/>
          <w:szCs w:val="31"/>
        </w:rPr>
        <w:t> %；住房保障（类）支出</w:t>
      </w:r>
      <w:r>
        <w:rPr>
          <w:rFonts w:hint="eastAsia" w:ascii="Times New Roman" w:hAnsi="Times New Roman" w:eastAsia="仿宋_GB2312" w:cs="Times New Roman"/>
          <w:spacing w:val="4"/>
          <w:sz w:val="31"/>
          <w:szCs w:val="31"/>
          <w:lang w:val="en-US" w:eastAsia="zh-CN"/>
        </w:rPr>
        <w:t>119.20</w:t>
      </w:r>
      <w:r>
        <w:rPr>
          <w:rFonts w:hint="default" w:ascii="Times New Roman" w:hAnsi="Times New Roman" w:eastAsia="仿宋_GB2312" w:cs="Times New Roman"/>
          <w:spacing w:val="4"/>
          <w:sz w:val="31"/>
          <w:szCs w:val="31"/>
        </w:rPr>
        <w:t>万元，占</w:t>
      </w:r>
      <w:r>
        <w:rPr>
          <w:rFonts w:hint="eastAsia" w:ascii="Times New Roman" w:hAnsi="Times New Roman" w:eastAsia="仿宋_GB2312" w:cs="Times New Roman"/>
          <w:spacing w:val="4"/>
          <w:sz w:val="31"/>
          <w:szCs w:val="31"/>
          <w:lang w:val="en-US" w:eastAsia="zh-CN"/>
        </w:rPr>
        <w:t>4.97</w:t>
      </w:r>
      <w:r>
        <w:rPr>
          <w:rFonts w:hint="default" w:ascii="Times New Roman" w:hAnsi="Times New Roman" w:eastAsia="仿宋_GB2312" w:cs="Times New Roman"/>
          <w:spacing w:val="4"/>
          <w:sz w:val="31"/>
          <w:szCs w:val="31"/>
        </w:rPr>
        <w:t>%。</w:t>
      </w:r>
    </w:p>
    <w:p w14:paraId="6C220B49">
      <w:pPr>
        <w:spacing w:before="52"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一般公共预算财政拨款支出决算具体情况</w:t>
      </w:r>
    </w:p>
    <w:p w14:paraId="02C22369">
      <w:pPr>
        <w:spacing w:before="248" w:line="357" w:lineRule="auto"/>
        <w:ind w:left="38" w:right="78" w:rightChars="0" w:firstLine="633"/>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 年度一般公共预算财政拨款支出年初预算为</w:t>
      </w:r>
      <w:r>
        <w:rPr>
          <w:rFonts w:hint="eastAsia" w:ascii="Times New Roman" w:hAnsi="Times New Roman" w:eastAsia="仿宋_GB2312" w:cs="Times New Roman"/>
          <w:spacing w:val="33"/>
          <w:sz w:val="31"/>
          <w:szCs w:val="31"/>
          <w:lang w:val="en-US" w:eastAsia="zh-CN"/>
        </w:rPr>
        <w:t>2401.31</w:t>
      </w:r>
      <w:r>
        <w:rPr>
          <w:rFonts w:hint="default" w:ascii="Times New Roman" w:hAnsi="Times New Roman" w:eastAsia="仿宋_GB2312" w:cs="Times New Roman"/>
          <w:spacing w:val="12"/>
          <w:sz w:val="31"/>
          <w:szCs w:val="31"/>
        </w:rPr>
        <w:t>万</w:t>
      </w:r>
      <w:r>
        <w:rPr>
          <w:rFonts w:hint="default" w:ascii="Times New Roman" w:hAnsi="Times New Roman" w:eastAsia="仿宋_GB2312" w:cs="Times New Roman"/>
          <w:spacing w:val="4"/>
          <w:sz w:val="31"/>
          <w:szCs w:val="31"/>
        </w:rPr>
        <w:t>元，支出决算为</w:t>
      </w:r>
      <w:r>
        <w:rPr>
          <w:rFonts w:hint="eastAsia" w:ascii="Times New Roman" w:hAnsi="Times New Roman" w:eastAsia="仿宋_GB2312" w:cs="Times New Roman"/>
          <w:spacing w:val="4"/>
          <w:sz w:val="31"/>
          <w:szCs w:val="31"/>
          <w:lang w:val="en-US" w:eastAsia="zh-CN"/>
        </w:rPr>
        <w:t>2399.58</w:t>
      </w:r>
      <w:r>
        <w:rPr>
          <w:rFonts w:hint="default" w:ascii="Times New Roman" w:hAnsi="Times New Roman" w:eastAsia="仿宋_GB2312" w:cs="Times New Roman"/>
          <w:spacing w:val="4"/>
          <w:sz w:val="31"/>
          <w:szCs w:val="31"/>
        </w:rPr>
        <w:t xml:space="preserve"> 万元，完成年初预算的  </w:t>
      </w:r>
      <w:r>
        <w:rPr>
          <w:rFonts w:hint="eastAsia" w:ascii="Times New Roman" w:hAnsi="Times New Roman" w:eastAsia="仿宋_GB2312" w:cs="Times New Roman"/>
          <w:spacing w:val="4"/>
          <w:sz w:val="31"/>
          <w:szCs w:val="31"/>
          <w:lang w:val="en-US" w:eastAsia="zh-CN"/>
        </w:rPr>
        <w:t>99.93</w:t>
      </w:r>
      <w:r>
        <w:rPr>
          <w:rFonts w:hint="default" w:ascii="Times New Roman" w:hAnsi="Times New Roman" w:eastAsia="仿宋_GB2312" w:cs="Times New Roman"/>
          <w:spacing w:val="4"/>
          <w:sz w:val="31"/>
          <w:szCs w:val="31"/>
        </w:rPr>
        <w:t>%。其中：</w:t>
      </w:r>
    </w:p>
    <w:p w14:paraId="73688395">
      <w:pPr>
        <w:numPr>
          <w:ilvl w:val="0"/>
          <w:numId w:val="2"/>
        </w:numPr>
        <w:spacing w:before="54" w:line="361" w:lineRule="auto"/>
        <w:ind w:left="30" w:firstLine="660"/>
        <w:rPr>
          <w:rFonts w:hint="default" w:ascii="Times New Roman" w:hAnsi="Times New Roman" w:eastAsia="仿宋_GB2312" w:cs="Times New Roman"/>
          <w:sz w:val="31"/>
          <w:szCs w:val="31"/>
          <w:highlight w:val="none"/>
          <w:lang w:val="en-US" w:eastAsia="zh-CN"/>
        </w:rPr>
      </w:pPr>
      <w:r>
        <w:rPr>
          <w:rFonts w:hint="default" w:ascii="Times New Roman" w:hAnsi="Times New Roman" w:eastAsia="仿宋_GB2312" w:cs="Times New Roman"/>
          <w:spacing w:val="-12"/>
          <w:sz w:val="31"/>
          <w:szCs w:val="31"/>
          <w:highlight w:val="none"/>
        </w:rPr>
        <w:t>一般公共服务（类）</w:t>
      </w:r>
      <w:r>
        <w:rPr>
          <w:rFonts w:hint="default" w:ascii="Times New Roman" w:hAnsi="Times New Roman" w:eastAsia="仿宋_GB2312" w:cs="Times New Roman"/>
          <w:spacing w:val="-41"/>
          <w:sz w:val="31"/>
          <w:szCs w:val="31"/>
          <w:highlight w:val="none"/>
        </w:rPr>
        <w:t xml:space="preserve"> </w:t>
      </w:r>
      <w:r>
        <w:rPr>
          <w:rFonts w:hint="default" w:ascii="Times New Roman" w:hAnsi="Times New Roman" w:eastAsia="仿宋_GB2312" w:cs="Times New Roman"/>
          <w:spacing w:val="-12"/>
          <w:sz w:val="31"/>
          <w:szCs w:val="31"/>
          <w:highlight w:val="none"/>
        </w:rPr>
        <w:t>财政事务（款）</w:t>
      </w:r>
      <w:r>
        <w:rPr>
          <w:rFonts w:hint="default" w:ascii="Times New Roman" w:hAnsi="Times New Roman" w:eastAsia="仿宋_GB2312" w:cs="Times New Roman"/>
          <w:spacing w:val="-62"/>
          <w:sz w:val="31"/>
          <w:szCs w:val="31"/>
          <w:highlight w:val="none"/>
        </w:rPr>
        <w:t xml:space="preserve"> </w:t>
      </w:r>
      <w:r>
        <w:rPr>
          <w:rFonts w:hint="default" w:ascii="Times New Roman" w:hAnsi="Times New Roman" w:eastAsia="仿宋_GB2312" w:cs="Times New Roman"/>
          <w:spacing w:val="-12"/>
          <w:sz w:val="31"/>
          <w:szCs w:val="31"/>
          <w:highlight w:val="none"/>
        </w:rPr>
        <w:t>行政运行（项）</w:t>
      </w:r>
      <w:r>
        <w:rPr>
          <w:rFonts w:hint="default" w:ascii="Times New Roman" w:hAnsi="Times New Roman" w:eastAsia="仿宋_GB2312" w:cs="Times New Roman"/>
          <w:spacing w:val="-81"/>
          <w:sz w:val="31"/>
          <w:szCs w:val="31"/>
          <w:highlight w:val="none"/>
        </w:rPr>
        <w:t xml:space="preserve"> </w:t>
      </w:r>
      <w:r>
        <w:rPr>
          <w:rFonts w:hint="default" w:ascii="Times New Roman" w:hAnsi="Times New Roman" w:eastAsia="仿宋_GB2312" w:cs="Times New Roman"/>
          <w:spacing w:val="-12"/>
          <w:sz w:val="31"/>
          <w:szCs w:val="31"/>
          <w:highlight w:val="none"/>
        </w:rPr>
        <w:t>。</w:t>
      </w:r>
      <w:r>
        <w:rPr>
          <w:rFonts w:hint="default" w:ascii="Times New Roman" w:hAnsi="Times New Roman" w:eastAsia="仿宋_GB2312" w:cs="Times New Roman"/>
          <w:sz w:val="31"/>
          <w:szCs w:val="31"/>
          <w:highlight w:val="none"/>
        </w:rPr>
        <w:t xml:space="preserve"> </w:t>
      </w:r>
      <w:r>
        <w:rPr>
          <w:rFonts w:hint="default" w:ascii="Times New Roman" w:hAnsi="Times New Roman" w:eastAsia="仿宋_GB2312" w:cs="Times New Roman"/>
          <w:spacing w:val="20"/>
          <w:sz w:val="31"/>
          <w:szCs w:val="31"/>
          <w:highlight w:val="none"/>
        </w:rPr>
        <w:t>年初预算为</w:t>
      </w:r>
      <w:r>
        <w:rPr>
          <w:rFonts w:hint="eastAsia" w:ascii="Times New Roman" w:hAnsi="Times New Roman" w:eastAsia="仿宋_GB2312" w:cs="Times New Roman"/>
          <w:spacing w:val="20"/>
          <w:sz w:val="31"/>
          <w:szCs w:val="31"/>
          <w:highlight w:val="none"/>
          <w:lang w:val="en-US" w:eastAsia="zh-CN"/>
        </w:rPr>
        <w:t>2026.10</w:t>
      </w:r>
      <w:r>
        <w:rPr>
          <w:rFonts w:hint="default" w:ascii="Times New Roman" w:hAnsi="Times New Roman" w:eastAsia="仿宋_GB2312" w:cs="Times New Roman"/>
          <w:spacing w:val="20"/>
          <w:sz w:val="31"/>
          <w:szCs w:val="31"/>
          <w:highlight w:val="none"/>
        </w:rPr>
        <w:t>万元，</w:t>
      </w:r>
      <w:r>
        <w:rPr>
          <w:rFonts w:hint="default" w:ascii="Times New Roman" w:hAnsi="Times New Roman" w:eastAsia="仿宋_GB2312" w:cs="Times New Roman"/>
          <w:spacing w:val="-73"/>
          <w:sz w:val="31"/>
          <w:szCs w:val="31"/>
          <w:highlight w:val="none"/>
        </w:rPr>
        <w:t xml:space="preserve"> </w:t>
      </w:r>
      <w:r>
        <w:rPr>
          <w:rFonts w:hint="default" w:ascii="Times New Roman" w:hAnsi="Times New Roman" w:eastAsia="仿宋_GB2312" w:cs="Times New Roman"/>
          <w:spacing w:val="20"/>
          <w:sz w:val="31"/>
          <w:szCs w:val="31"/>
          <w:highlight w:val="none"/>
        </w:rPr>
        <w:t>支出决算为</w:t>
      </w:r>
      <w:r>
        <w:rPr>
          <w:rFonts w:hint="eastAsia" w:ascii="Times New Roman" w:hAnsi="Times New Roman" w:eastAsia="仿宋_GB2312" w:cs="Times New Roman"/>
          <w:spacing w:val="20"/>
          <w:sz w:val="31"/>
          <w:szCs w:val="31"/>
          <w:highlight w:val="none"/>
          <w:lang w:val="en-US" w:eastAsia="zh-CN"/>
        </w:rPr>
        <w:t>2024.38</w:t>
      </w:r>
      <w:r>
        <w:rPr>
          <w:rFonts w:hint="default" w:ascii="Times New Roman" w:hAnsi="Times New Roman" w:eastAsia="仿宋_GB2312" w:cs="Times New Roman"/>
          <w:spacing w:val="20"/>
          <w:sz w:val="31"/>
          <w:szCs w:val="31"/>
          <w:highlight w:val="none"/>
        </w:rPr>
        <w:t>万元，</w:t>
      </w:r>
      <w:r>
        <w:rPr>
          <w:rFonts w:hint="default" w:ascii="Times New Roman" w:hAnsi="Times New Roman" w:eastAsia="仿宋_GB2312" w:cs="Times New Roman"/>
          <w:spacing w:val="-63"/>
          <w:sz w:val="31"/>
          <w:szCs w:val="31"/>
          <w:highlight w:val="none"/>
        </w:rPr>
        <w:t xml:space="preserve"> </w:t>
      </w:r>
      <w:r>
        <w:rPr>
          <w:rFonts w:hint="default" w:ascii="Times New Roman" w:hAnsi="Times New Roman" w:eastAsia="仿宋_GB2312" w:cs="Times New Roman"/>
          <w:spacing w:val="20"/>
          <w:sz w:val="31"/>
          <w:szCs w:val="31"/>
          <w:highlight w:val="none"/>
        </w:rPr>
        <w:t>完成年初预算</w:t>
      </w:r>
      <w:r>
        <w:rPr>
          <w:rFonts w:hint="default" w:ascii="Times New Roman" w:hAnsi="Times New Roman" w:eastAsia="仿宋_GB2312" w:cs="Times New Roman"/>
          <w:spacing w:val="4"/>
          <w:sz w:val="31"/>
          <w:szCs w:val="31"/>
          <w:highlight w:val="none"/>
        </w:rPr>
        <w:t xml:space="preserve">的  </w:t>
      </w:r>
      <w:r>
        <w:rPr>
          <w:rFonts w:hint="eastAsia" w:ascii="Times New Roman" w:hAnsi="Times New Roman" w:eastAsia="仿宋_GB2312" w:cs="Times New Roman"/>
          <w:spacing w:val="4"/>
          <w:sz w:val="31"/>
          <w:szCs w:val="31"/>
          <w:highlight w:val="none"/>
          <w:lang w:val="en-US" w:eastAsia="zh-CN"/>
        </w:rPr>
        <w:t>99.92</w:t>
      </w:r>
      <w:r>
        <w:rPr>
          <w:rFonts w:hint="default" w:ascii="Times New Roman" w:hAnsi="Times New Roman" w:eastAsia="仿宋_GB2312" w:cs="Times New Roman"/>
          <w:spacing w:val="4"/>
          <w:sz w:val="31"/>
          <w:szCs w:val="31"/>
          <w:highlight w:val="none"/>
        </w:rPr>
        <w:t>%。决算数大于预算数的主要原因是</w:t>
      </w:r>
      <w:r>
        <w:rPr>
          <w:rFonts w:hint="default" w:ascii="Times New Roman" w:hAnsi="Times New Roman" w:eastAsia="仿宋_GB2312" w:cs="Times New Roman"/>
          <w:spacing w:val="-102"/>
          <w:sz w:val="31"/>
          <w:szCs w:val="31"/>
          <w:highlight w:val="none"/>
        </w:rPr>
        <w:t xml:space="preserve"> </w:t>
      </w:r>
      <w:r>
        <w:rPr>
          <w:rFonts w:hint="eastAsia" w:ascii="Times New Roman" w:hAnsi="Times New Roman" w:eastAsia="仿宋_GB2312" w:cs="Times New Roman"/>
          <w:spacing w:val="4"/>
          <w:sz w:val="31"/>
          <w:szCs w:val="31"/>
          <w:highlight w:val="none"/>
          <w:lang w:val="en-US" w:eastAsia="zh-CN"/>
        </w:rPr>
        <w:t>人员变动</w:t>
      </w:r>
      <w:r>
        <w:rPr>
          <w:rFonts w:hint="default" w:ascii="Times New Roman" w:hAnsi="Times New Roman" w:eastAsia="仿宋_GB2312" w:cs="Times New Roman"/>
          <w:spacing w:val="4"/>
          <w:sz w:val="31"/>
          <w:szCs w:val="31"/>
          <w:highlight w:val="none"/>
        </w:rPr>
        <w:t>。</w:t>
      </w:r>
    </w:p>
    <w:p w14:paraId="10136066">
      <w:pPr>
        <w:numPr>
          <w:ilvl w:val="0"/>
          <w:numId w:val="2"/>
        </w:numPr>
        <w:spacing w:before="54" w:line="361" w:lineRule="auto"/>
        <w:ind w:left="30" w:firstLine="660"/>
        <w:rPr>
          <w:rFonts w:hint="default" w:ascii="Times New Roman" w:hAnsi="Times New Roman" w:eastAsia="仿宋_GB2312" w:cs="Times New Roman"/>
          <w:sz w:val="31"/>
          <w:szCs w:val="31"/>
          <w:highlight w:val="none"/>
          <w:lang w:val="en-US" w:eastAsia="zh-CN"/>
        </w:rPr>
      </w:pPr>
      <w:r>
        <w:rPr>
          <w:rFonts w:hint="eastAsia" w:ascii="Times New Roman" w:hAnsi="Times New Roman" w:eastAsia="仿宋_GB2312" w:cs="Times New Roman"/>
          <w:sz w:val="31"/>
          <w:szCs w:val="31"/>
          <w:highlight w:val="none"/>
          <w:lang w:val="en-US" w:eastAsia="zh-CN"/>
        </w:rPr>
        <w:t>社会保障和就业支出（类）行政事业单位养老支出（款）机关事业单位基本养老保险缴费支出（项）。年初预算为183.53万元，支出决算为183.53万元，</w:t>
      </w:r>
      <w:r>
        <w:rPr>
          <w:rFonts w:hint="default" w:ascii="Times New Roman" w:hAnsi="Times New Roman" w:eastAsia="仿宋_GB2312" w:cs="Times New Roman"/>
          <w:sz w:val="31"/>
          <w:szCs w:val="31"/>
          <w:highlight w:val="none"/>
        </w:rPr>
        <w:t xml:space="preserve">完成年初预算的  </w:t>
      </w:r>
      <w:r>
        <w:rPr>
          <w:rFonts w:hint="eastAsia" w:ascii="Times New Roman" w:hAnsi="Times New Roman" w:eastAsia="仿宋_GB2312" w:cs="Times New Roman"/>
          <w:sz w:val="31"/>
          <w:szCs w:val="31"/>
          <w:highlight w:val="none"/>
          <w:lang w:val="en-US" w:eastAsia="zh-CN"/>
        </w:rPr>
        <w:t>100</w:t>
      </w:r>
      <w:r>
        <w:rPr>
          <w:rFonts w:hint="default" w:ascii="Times New Roman" w:hAnsi="Times New Roman" w:eastAsia="仿宋_GB2312" w:cs="Times New Roman"/>
          <w:sz w:val="31"/>
          <w:szCs w:val="31"/>
          <w:highlight w:val="none"/>
        </w:rPr>
        <w:t>%</w:t>
      </w:r>
      <w:r>
        <w:rPr>
          <w:rFonts w:hint="eastAsia" w:ascii="Times New Roman" w:hAnsi="Times New Roman" w:eastAsia="仿宋_GB2312" w:cs="Times New Roman"/>
          <w:sz w:val="31"/>
          <w:szCs w:val="31"/>
          <w:highlight w:val="none"/>
          <w:lang w:eastAsia="zh-CN"/>
        </w:rPr>
        <w:t>，</w:t>
      </w:r>
      <w:r>
        <w:rPr>
          <w:rFonts w:hint="eastAsia" w:ascii="Times New Roman" w:hAnsi="Times New Roman" w:eastAsia="仿宋_GB2312" w:cs="Times New Roman"/>
          <w:sz w:val="31"/>
          <w:szCs w:val="31"/>
          <w:highlight w:val="none"/>
          <w:lang w:val="en-US" w:eastAsia="zh-CN"/>
        </w:rPr>
        <w:t>决算数等于预算数。</w:t>
      </w:r>
    </w:p>
    <w:p w14:paraId="420BA8BE">
      <w:pPr>
        <w:numPr>
          <w:ilvl w:val="0"/>
          <w:numId w:val="0"/>
        </w:numPr>
        <w:spacing w:before="54" w:line="361" w:lineRule="auto"/>
        <w:ind w:firstLine="858" w:firstLineChars="300"/>
        <w:rPr>
          <w:rFonts w:hint="default" w:ascii="Times New Roman" w:hAnsi="Times New Roman" w:eastAsia="仿宋_GB2312" w:cs="Times New Roman"/>
          <w:sz w:val="31"/>
          <w:szCs w:val="31"/>
          <w:highlight w:val="none"/>
          <w:lang w:val="en-US" w:eastAsia="zh-CN"/>
        </w:rPr>
      </w:pPr>
      <w:r>
        <w:rPr>
          <w:rFonts w:hint="eastAsia" w:ascii="Times New Roman" w:hAnsi="Times New Roman" w:eastAsia="仿宋_GB2312" w:cs="Times New Roman"/>
          <w:spacing w:val="-12"/>
          <w:sz w:val="31"/>
          <w:szCs w:val="31"/>
          <w:highlight w:val="none"/>
          <w:lang w:val="en-US" w:eastAsia="zh-CN"/>
        </w:rPr>
        <w:t>3.</w:t>
      </w:r>
      <w:r>
        <w:rPr>
          <w:rFonts w:hint="eastAsia" w:ascii="Times New Roman" w:hAnsi="Times New Roman" w:eastAsia="仿宋_GB2312" w:cs="Times New Roman"/>
          <w:sz w:val="31"/>
          <w:szCs w:val="31"/>
          <w:highlight w:val="none"/>
          <w:lang w:val="en-US" w:eastAsia="zh-CN"/>
        </w:rPr>
        <w:t>卫生健康支出（类）行政事业单位医疗（款）行政单位医疗（项）年初预算为72.47万元，支出决算为72.47万元，完成年初预算的100%。决算数等于预算数。</w:t>
      </w:r>
    </w:p>
    <w:p w14:paraId="569CE409">
      <w:pPr>
        <w:numPr>
          <w:ilvl w:val="0"/>
          <w:numId w:val="0"/>
        </w:numPr>
        <w:spacing w:before="54" w:line="361" w:lineRule="auto"/>
        <w:ind w:firstLine="858" w:firstLineChars="300"/>
        <w:rPr>
          <w:rFonts w:hint="eastAsia" w:ascii="Times New Roman" w:hAnsi="Times New Roman" w:eastAsia="仿宋_GB2312" w:cs="Times New Roman"/>
          <w:sz w:val="31"/>
          <w:szCs w:val="31"/>
          <w:highlight w:val="none"/>
          <w:lang w:val="en-US" w:eastAsia="zh-CN"/>
        </w:rPr>
      </w:pPr>
      <w:r>
        <w:rPr>
          <w:rFonts w:hint="eastAsia" w:ascii="Times New Roman" w:hAnsi="Times New Roman" w:eastAsia="仿宋_GB2312" w:cs="Times New Roman"/>
          <w:spacing w:val="-12"/>
          <w:sz w:val="31"/>
          <w:szCs w:val="31"/>
          <w:highlight w:val="none"/>
          <w:lang w:val="en-US" w:eastAsia="zh-CN"/>
        </w:rPr>
        <w:t>4</w:t>
      </w:r>
      <w:r>
        <w:rPr>
          <w:rFonts w:hint="default" w:ascii="Times New Roman" w:hAnsi="Times New Roman" w:eastAsia="仿宋_GB2312" w:cs="Times New Roman"/>
          <w:spacing w:val="-12"/>
          <w:sz w:val="31"/>
          <w:szCs w:val="31"/>
          <w:highlight w:val="none"/>
        </w:rPr>
        <w:t>.</w:t>
      </w:r>
      <w:r>
        <w:rPr>
          <w:rFonts w:hint="eastAsia" w:ascii="Times New Roman" w:hAnsi="Times New Roman" w:eastAsia="仿宋_GB2312" w:cs="Times New Roman"/>
          <w:sz w:val="31"/>
          <w:szCs w:val="31"/>
          <w:highlight w:val="none"/>
          <w:lang w:val="en-US" w:eastAsia="zh-CN"/>
        </w:rPr>
        <w:t>住房保障支出（类）住房改革支出（款）住房公积金（项）。年初预算为 119.20万元，支出决算为119.20万元，完成年初预算的100%。决算数等于预算数。</w:t>
      </w:r>
    </w:p>
    <w:p w14:paraId="7C0D01EA">
      <w:pPr>
        <w:numPr>
          <w:ilvl w:val="0"/>
          <w:numId w:val="0"/>
        </w:numPr>
        <w:spacing w:before="54" w:line="361" w:lineRule="auto"/>
        <w:ind w:firstLine="858" w:firstLineChars="300"/>
        <w:rPr>
          <w:rFonts w:hint="default" w:ascii="Times New Roman" w:hAnsi="Times New Roman" w:eastAsia="仿宋_GB2312" w:cs="Times New Roman"/>
          <w:sz w:val="31"/>
          <w:szCs w:val="31"/>
          <w:highlight w:val="none"/>
          <w:lang w:val="en-US" w:eastAsia="zh-CN"/>
        </w:rPr>
      </w:pPr>
      <w:r>
        <w:rPr>
          <w:rFonts w:hint="eastAsia" w:ascii="Times New Roman" w:hAnsi="Times New Roman" w:eastAsia="仿宋_GB2312" w:cs="Times New Roman"/>
          <w:spacing w:val="-12"/>
          <w:sz w:val="31"/>
          <w:szCs w:val="31"/>
          <w:highlight w:val="none"/>
          <w:lang w:val="en-US" w:eastAsia="zh-CN"/>
        </w:rPr>
        <w:t>5</w:t>
      </w:r>
      <w:r>
        <w:rPr>
          <w:rFonts w:hint="default" w:ascii="Times New Roman" w:hAnsi="Times New Roman" w:eastAsia="仿宋_GB2312" w:cs="Times New Roman"/>
          <w:spacing w:val="-12"/>
          <w:sz w:val="31"/>
          <w:szCs w:val="31"/>
          <w:highlight w:val="none"/>
          <w:lang w:val="en-US" w:eastAsia="zh-CN"/>
        </w:rPr>
        <w:t>.</w:t>
      </w:r>
      <w:r>
        <w:rPr>
          <w:rFonts w:hint="default" w:ascii="Times New Roman" w:hAnsi="Times New Roman" w:eastAsia="仿宋_GB2312" w:cs="Times New Roman"/>
          <w:sz w:val="31"/>
          <w:szCs w:val="31"/>
          <w:highlight w:val="none"/>
          <w:lang w:val="en-US" w:eastAsia="zh-CN"/>
        </w:rPr>
        <w:t>一般公共服务（类）纪检监察事务（款）一般行政管理事务（项）。年初预算为0万元，支出决算为</w:t>
      </w:r>
      <w:r>
        <w:rPr>
          <w:rFonts w:hint="eastAsia" w:ascii="Times New Roman" w:hAnsi="Times New Roman" w:eastAsia="仿宋_GB2312" w:cs="Times New Roman"/>
          <w:sz w:val="31"/>
          <w:szCs w:val="31"/>
          <w:highlight w:val="none"/>
          <w:lang w:val="en-US" w:eastAsia="zh-CN"/>
        </w:rPr>
        <w:t>53.74</w:t>
      </w:r>
      <w:r>
        <w:rPr>
          <w:rFonts w:hint="default" w:ascii="Times New Roman" w:hAnsi="Times New Roman" w:eastAsia="仿宋_GB2312" w:cs="Times New Roman"/>
          <w:sz w:val="31"/>
          <w:szCs w:val="31"/>
          <w:highlight w:val="none"/>
          <w:lang w:val="en-US" w:eastAsia="zh-CN"/>
        </w:rPr>
        <w:t>万元，决算数大于预算数的主要原因为中央转移资金的使用。</w:t>
      </w:r>
    </w:p>
    <w:p w14:paraId="655ECF64">
      <w:pPr>
        <w:spacing w:before="101" w:line="224" w:lineRule="auto"/>
        <w:ind w:left="677"/>
        <w:rPr>
          <w:rFonts w:hint="default" w:ascii="Times New Roman" w:hAnsi="Times New Roman" w:eastAsia="仿宋_GB2312" w:cs="Times New Roman"/>
          <w:sz w:val="31"/>
          <w:szCs w:val="31"/>
          <w:highlight w:val="none"/>
        </w:rPr>
      </w:pPr>
      <w:r>
        <w:rPr>
          <w:rFonts w:hint="default" w:ascii="Times New Roman" w:hAnsi="Times New Roman" w:eastAsia="仿宋_GB2312" w:cs="Times New Roman"/>
          <w:spacing w:val="8"/>
          <w:sz w:val="31"/>
          <w:szCs w:val="31"/>
          <w:highlight w:val="none"/>
        </w:rPr>
        <w:t>六、一般公共预算财政拨款基本支出决算情况说明</w:t>
      </w:r>
    </w:p>
    <w:p w14:paraId="7BCA5CBC">
      <w:pPr>
        <w:spacing w:before="247" w:line="357" w:lineRule="auto"/>
        <w:ind w:left="64" w:right="96" w:firstLine="607"/>
        <w:jc w:val="both"/>
        <w:rPr>
          <w:rFonts w:hint="default" w:ascii="Times New Roman" w:hAnsi="Times New Roman" w:eastAsia="仿宋_GB2312" w:cs="Times New Roman"/>
          <w:sz w:val="31"/>
          <w:szCs w:val="31"/>
          <w:highlight w:val="none"/>
        </w:rPr>
      </w:pPr>
      <w:r>
        <w:rPr>
          <w:rFonts w:hint="default" w:ascii="Times New Roman" w:hAnsi="Times New Roman" w:eastAsia="仿宋_GB2312" w:cs="Times New Roman"/>
          <w:spacing w:val="12"/>
          <w:sz w:val="31"/>
          <w:szCs w:val="31"/>
        </w:rPr>
        <w:t>2023年度一般公共预算</w:t>
      </w:r>
      <w:r>
        <w:rPr>
          <w:rFonts w:hint="default" w:ascii="Times New Roman" w:hAnsi="Times New Roman" w:eastAsia="仿宋_GB2312" w:cs="Times New Roman"/>
          <w:spacing w:val="12"/>
          <w:sz w:val="31"/>
          <w:szCs w:val="31"/>
          <w:highlight w:val="none"/>
        </w:rPr>
        <w:t>财政拨款基本支出</w:t>
      </w:r>
      <w:r>
        <w:rPr>
          <w:rFonts w:hint="default" w:ascii="Times New Roman" w:hAnsi="Times New Roman" w:eastAsia="仿宋_GB2312" w:cs="Times New Roman"/>
          <w:spacing w:val="33"/>
          <w:sz w:val="31"/>
          <w:szCs w:val="31"/>
          <w:highlight w:val="none"/>
        </w:rPr>
        <w:t xml:space="preserve"> </w:t>
      </w:r>
      <w:r>
        <w:rPr>
          <w:rFonts w:hint="eastAsia" w:ascii="Times New Roman" w:hAnsi="Times New Roman" w:eastAsia="仿宋_GB2312" w:cs="Times New Roman"/>
          <w:spacing w:val="33"/>
          <w:sz w:val="31"/>
          <w:szCs w:val="31"/>
          <w:highlight w:val="none"/>
          <w:lang w:val="en-US" w:eastAsia="zh-CN"/>
        </w:rPr>
        <w:t>2345.85</w:t>
      </w:r>
      <w:r>
        <w:rPr>
          <w:rFonts w:hint="default" w:ascii="Times New Roman" w:hAnsi="Times New Roman" w:eastAsia="仿宋_GB2312" w:cs="Times New Roman"/>
          <w:spacing w:val="12"/>
          <w:sz w:val="31"/>
          <w:szCs w:val="31"/>
          <w:highlight w:val="none"/>
        </w:rPr>
        <w:t>万元，其</w:t>
      </w:r>
      <w:r>
        <w:rPr>
          <w:rFonts w:hint="default" w:ascii="Times New Roman" w:hAnsi="Times New Roman" w:eastAsia="仿宋_GB2312" w:cs="Times New Roman"/>
          <w:sz w:val="31"/>
          <w:szCs w:val="31"/>
          <w:highlight w:val="none"/>
        </w:rPr>
        <w:t xml:space="preserve"> </w:t>
      </w:r>
      <w:r>
        <w:rPr>
          <w:rFonts w:hint="default" w:ascii="Times New Roman" w:hAnsi="Times New Roman" w:eastAsia="仿宋_GB2312" w:cs="Times New Roman"/>
          <w:spacing w:val="-30"/>
          <w:sz w:val="31"/>
          <w:szCs w:val="31"/>
          <w:highlight w:val="none"/>
        </w:rPr>
        <w:t>中：</w:t>
      </w:r>
    </w:p>
    <w:p w14:paraId="07C81E6B">
      <w:pPr>
        <w:keepNext w:val="0"/>
        <w:keepLines w:val="0"/>
        <w:pageBreakBefore w:val="0"/>
        <w:kinsoku w:val="0"/>
        <w:wordWrap/>
        <w:overflowPunct/>
        <w:topLinePunct w:val="0"/>
        <w:autoSpaceDE w:val="0"/>
        <w:autoSpaceDN w:val="0"/>
        <w:bidi w:val="0"/>
        <w:adjustRightInd w:val="0"/>
        <w:snapToGrid w:val="0"/>
        <w:spacing w:line="368" w:lineRule="auto"/>
        <w:ind w:left="29" w:right="98" w:firstLine="643"/>
        <w:jc w:val="both"/>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人员经费</w:t>
      </w:r>
      <w:r>
        <w:rPr>
          <w:rFonts w:hint="eastAsia" w:ascii="Times New Roman" w:hAnsi="Times New Roman" w:eastAsia="仿宋_GB2312" w:cs="Times New Roman"/>
          <w:spacing w:val="7"/>
          <w:sz w:val="31"/>
          <w:szCs w:val="31"/>
          <w:lang w:val="en-US" w:eastAsia="zh-CN"/>
        </w:rPr>
        <w:t>1508.79</w:t>
      </w:r>
      <w:r>
        <w:rPr>
          <w:rFonts w:hint="default" w:ascii="Times New Roman" w:hAnsi="Times New Roman" w:eastAsia="仿宋_GB2312" w:cs="Times New Roman"/>
          <w:b/>
          <w:bCs/>
          <w:spacing w:val="7"/>
          <w:sz w:val="31"/>
          <w:szCs w:val="31"/>
        </w:rPr>
        <w:t>万元</w:t>
      </w:r>
      <w:r>
        <w:rPr>
          <w:rFonts w:hint="default" w:ascii="Times New Roman" w:hAnsi="Times New Roman" w:eastAsia="仿宋_GB2312" w:cs="Times New Roman"/>
          <w:spacing w:val="7"/>
          <w:sz w:val="31"/>
          <w:szCs w:val="31"/>
        </w:rPr>
        <w:t>，主要包括：基本工资、津贴补贴、奖</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9"/>
          <w:sz w:val="31"/>
          <w:szCs w:val="31"/>
        </w:rPr>
        <w:t>金、伙食补助费、绩效工资、机关事业单位基</w:t>
      </w:r>
      <w:r>
        <w:rPr>
          <w:rFonts w:hint="default" w:ascii="Times New Roman" w:hAnsi="Times New Roman" w:eastAsia="仿宋_GB2312" w:cs="Times New Roman"/>
          <w:spacing w:val="8"/>
          <w:sz w:val="31"/>
          <w:szCs w:val="31"/>
        </w:rPr>
        <w:t>本养老保险缴</w:t>
      </w:r>
      <w:r>
        <w:rPr>
          <w:rFonts w:hint="default" w:ascii="Times New Roman" w:hAnsi="Times New Roman" w:eastAsia="仿宋_GB2312" w:cs="Times New Roman"/>
          <w:spacing w:val="9"/>
          <w:sz w:val="31"/>
          <w:szCs w:val="31"/>
        </w:rPr>
        <w:t>费、职业年金缴费、职工基本医疗保险缴费</w:t>
      </w:r>
      <w:r>
        <w:rPr>
          <w:rFonts w:hint="default" w:ascii="Times New Roman" w:hAnsi="Times New Roman" w:eastAsia="仿宋_GB2312" w:cs="Times New Roman"/>
          <w:spacing w:val="8"/>
          <w:sz w:val="31"/>
          <w:szCs w:val="31"/>
        </w:rPr>
        <w:t>、公务员医疗补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助缴费、其他社会保障缴费、住房公积金、医疗费、</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5"/>
          <w:sz w:val="31"/>
          <w:szCs w:val="31"/>
        </w:rPr>
        <w:t>其他工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资福利支出、离休费、退休费、退职（役） 费</w:t>
      </w:r>
      <w:r>
        <w:rPr>
          <w:rFonts w:hint="default" w:ascii="Times New Roman" w:hAnsi="Times New Roman" w:eastAsia="仿宋_GB2312" w:cs="Times New Roman"/>
          <w:spacing w:val="2"/>
          <w:sz w:val="31"/>
          <w:szCs w:val="31"/>
        </w:rPr>
        <w:t>、抚恤金、生</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活补助、救济费、医疗费补助、助学金、奖励金、个</w:t>
      </w:r>
      <w:r>
        <w:rPr>
          <w:rFonts w:hint="default" w:ascii="Times New Roman" w:hAnsi="Times New Roman" w:eastAsia="仿宋_GB2312" w:cs="Times New Roman"/>
          <w:spacing w:val="8"/>
          <w:sz w:val="31"/>
          <w:szCs w:val="31"/>
        </w:rPr>
        <w:t>人农业</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生产补贴、代缴社会保险费和其他对个人和家庭</w:t>
      </w:r>
      <w:r>
        <w:rPr>
          <w:rFonts w:hint="default" w:ascii="Times New Roman" w:hAnsi="Times New Roman" w:eastAsia="仿宋_GB2312" w:cs="Times New Roman"/>
          <w:spacing w:val="8"/>
          <w:sz w:val="31"/>
          <w:szCs w:val="31"/>
        </w:rPr>
        <w:t>的补助。</w:t>
      </w:r>
    </w:p>
    <w:p w14:paraId="77890058">
      <w:pPr>
        <w:keepNext w:val="0"/>
        <w:keepLines w:val="0"/>
        <w:pageBreakBefore w:val="0"/>
        <w:widowControl w:val="0"/>
        <w:kinsoku w:val="0"/>
        <w:wordWrap/>
        <w:overflowPunct/>
        <w:topLinePunct w:val="0"/>
        <w:autoSpaceDE w:val="0"/>
        <w:autoSpaceDN w:val="0"/>
        <w:bidi w:val="0"/>
        <w:adjustRightInd w:val="0"/>
        <w:snapToGrid w:val="0"/>
        <w:spacing w:line="368" w:lineRule="auto"/>
        <w:ind w:left="0" w:firstLine="618" w:firstLineChars="200"/>
        <w:textAlignment w:val="baseline"/>
        <w:rPr>
          <w:rFonts w:hint="eastAsia" w:ascii="Times New Roman" w:hAnsi="Times New Roman" w:eastAsia="仿宋_GB2312" w:cs="Times New Roman"/>
          <w:lang w:eastAsia="zh-CN"/>
        </w:rPr>
      </w:pPr>
      <w:r>
        <w:rPr>
          <w:rFonts w:hint="default" w:ascii="Times New Roman" w:hAnsi="Times New Roman" w:eastAsia="仿宋_GB2312" w:cs="Times New Roman"/>
          <w:b/>
          <w:bCs/>
          <w:spacing w:val="-1"/>
          <w:sz w:val="31"/>
          <w:szCs w:val="31"/>
        </w:rPr>
        <w:t>公用经费</w:t>
      </w:r>
      <w:r>
        <w:rPr>
          <w:rFonts w:hint="eastAsia" w:ascii="Times New Roman" w:hAnsi="Times New Roman" w:eastAsia="仿宋_GB2312" w:cs="Times New Roman"/>
          <w:spacing w:val="-1"/>
          <w:sz w:val="31"/>
          <w:szCs w:val="31"/>
          <w:lang w:val="en-US" w:eastAsia="zh-CN"/>
        </w:rPr>
        <w:t>837.06</w:t>
      </w:r>
      <w:r>
        <w:rPr>
          <w:rFonts w:hint="default" w:ascii="Times New Roman" w:hAnsi="Times New Roman" w:eastAsia="仿宋_GB2312" w:cs="Times New Roman"/>
          <w:b/>
          <w:bCs/>
          <w:spacing w:val="-1"/>
          <w:sz w:val="31"/>
          <w:szCs w:val="31"/>
        </w:rPr>
        <w:t>万元</w:t>
      </w:r>
      <w:r>
        <w:rPr>
          <w:rFonts w:hint="default" w:ascii="Times New Roman" w:hAnsi="Times New Roman" w:eastAsia="仿宋_GB2312" w:cs="Times New Roman"/>
          <w:spacing w:val="-1"/>
          <w:sz w:val="31"/>
          <w:szCs w:val="31"/>
        </w:rPr>
        <w:t>，主要包括：办公费、印刷费、咨询费、</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9"/>
          <w:sz w:val="31"/>
          <w:szCs w:val="31"/>
        </w:rPr>
        <w:t>手续费、水费、电费、邮电费、取暖费、物业</w:t>
      </w:r>
      <w:r>
        <w:rPr>
          <w:rFonts w:hint="default" w:ascii="Times New Roman" w:hAnsi="Times New Roman" w:eastAsia="仿宋_GB2312" w:cs="Times New Roman"/>
          <w:spacing w:val="8"/>
          <w:sz w:val="31"/>
          <w:szCs w:val="31"/>
        </w:rPr>
        <w:t>管理费、差旅</w:t>
      </w:r>
      <w:r>
        <w:rPr>
          <w:rFonts w:hint="default" w:ascii="Times New Roman" w:hAnsi="Times New Roman" w:eastAsia="仿宋_GB2312" w:cs="Times New Roman"/>
          <w:sz w:val="31"/>
          <w:szCs w:val="31"/>
        </w:rPr>
        <w:t xml:space="preserve"> 费、因公出国（境）费、维修（护）费、租赁</w:t>
      </w:r>
      <w:r>
        <w:rPr>
          <w:rFonts w:hint="default" w:ascii="Times New Roman" w:hAnsi="Times New Roman" w:eastAsia="仿宋_GB2312" w:cs="Times New Roman"/>
          <w:spacing w:val="-1"/>
          <w:sz w:val="31"/>
          <w:szCs w:val="31"/>
        </w:rPr>
        <w:t>费、</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1"/>
          <w:sz w:val="31"/>
          <w:szCs w:val="31"/>
        </w:rPr>
        <w:t>会议费、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培训费、公务接待费、专用材料费、被装购置费、专</w:t>
      </w:r>
      <w:r>
        <w:rPr>
          <w:rFonts w:hint="default" w:ascii="Times New Roman" w:hAnsi="Times New Roman" w:eastAsia="仿宋_GB2312" w:cs="Times New Roman"/>
          <w:spacing w:val="8"/>
          <w:sz w:val="31"/>
          <w:szCs w:val="31"/>
        </w:rPr>
        <w:t>用燃料</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费、劳务费、委托业务费、工会经费、福利费、公</w:t>
      </w:r>
      <w:r>
        <w:rPr>
          <w:rFonts w:hint="default" w:ascii="Times New Roman" w:hAnsi="Times New Roman" w:eastAsia="仿宋_GB2312" w:cs="Times New Roman"/>
          <w:spacing w:val="8"/>
          <w:sz w:val="31"/>
          <w:szCs w:val="31"/>
        </w:rPr>
        <w:t>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行维护费、其他交通费用、税金及附加费用、其</w:t>
      </w:r>
      <w:r>
        <w:rPr>
          <w:rFonts w:hint="default" w:ascii="Times New Roman" w:hAnsi="Times New Roman" w:eastAsia="仿宋_GB2312" w:cs="Times New Roman"/>
          <w:spacing w:val="8"/>
          <w:sz w:val="31"/>
          <w:szCs w:val="31"/>
        </w:rPr>
        <w:t>他商品和服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务支出、房屋建筑物购建、办公设备购置、专用设备购</w:t>
      </w:r>
      <w:r>
        <w:rPr>
          <w:rFonts w:hint="default" w:ascii="Times New Roman" w:hAnsi="Times New Roman" w:eastAsia="仿宋_GB2312" w:cs="Times New Roman"/>
          <w:spacing w:val="8"/>
          <w:sz w:val="31"/>
          <w:szCs w:val="31"/>
        </w:rPr>
        <w:t>置、</w:t>
      </w:r>
      <w:r>
        <w:rPr>
          <w:rFonts w:hint="default" w:ascii="Times New Roman" w:hAnsi="Times New Roman" w:eastAsia="仿宋_GB2312" w:cs="Times New Roman"/>
          <w:spacing w:val="9"/>
          <w:sz w:val="31"/>
          <w:szCs w:val="31"/>
        </w:rPr>
        <w:t>基础设施建设、大型修缮、信息网络及软件购置更新、其他</w:t>
      </w:r>
      <w:r>
        <w:rPr>
          <w:rFonts w:hint="default" w:ascii="Times New Roman" w:hAnsi="Times New Roman" w:eastAsia="仿宋_GB2312" w:cs="Times New Roman"/>
          <w:spacing w:val="4"/>
          <w:sz w:val="31"/>
          <w:szCs w:val="31"/>
        </w:rPr>
        <w:t>资本性支出</w:t>
      </w:r>
      <w:r>
        <w:rPr>
          <w:rFonts w:hint="eastAsia" w:ascii="Times New Roman" w:hAnsi="Times New Roman" w:eastAsia="仿宋_GB2312" w:cs="Times New Roman"/>
          <w:spacing w:val="4"/>
          <w:sz w:val="31"/>
          <w:szCs w:val="31"/>
          <w:lang w:eastAsia="zh-CN"/>
        </w:rPr>
        <w:t>。</w:t>
      </w:r>
    </w:p>
    <w:p w14:paraId="1505C9AE">
      <w:pPr>
        <w:keepNext w:val="0"/>
        <w:keepLines w:val="0"/>
        <w:pageBreakBefore w:val="0"/>
        <w:widowControl w:val="0"/>
        <w:kinsoku w:val="0"/>
        <w:wordWrap/>
        <w:overflowPunct/>
        <w:topLinePunct w:val="0"/>
        <w:autoSpaceDE w:val="0"/>
        <w:autoSpaceDN w:val="0"/>
        <w:bidi w:val="0"/>
        <w:adjustRightInd w:val="0"/>
        <w:snapToGrid w:val="0"/>
        <w:spacing w:line="368" w:lineRule="auto"/>
        <w:ind w:left="0" w:firstLine="656" w:firstLineChars="200"/>
        <w:textAlignment w:val="baseline"/>
        <w:rPr>
          <w:rFonts w:hint="default" w:ascii="Times New Roman" w:hAnsi="Times New Roman" w:eastAsia="仿宋_GB2312" w:cs="Times New Roman"/>
          <w:spacing w:val="9"/>
          <w:sz w:val="31"/>
          <w:szCs w:val="31"/>
        </w:rPr>
      </w:pPr>
      <w:r>
        <w:rPr>
          <w:rFonts w:hint="default" w:ascii="Times New Roman" w:hAnsi="Times New Roman" w:eastAsia="仿宋_GB2312" w:cs="Times New Roman"/>
          <w:spacing w:val="9"/>
          <w:sz w:val="31"/>
          <w:szCs w:val="31"/>
        </w:rPr>
        <w:t xml:space="preserve">七、政府性基金预算财政拨款收入支出决算情况说明2023 年度政府性基金预算财政拨款年初结转和结余  </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万元；本年收入</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万元；本年支出</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 ；年末结转和结余</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w:t>
      </w:r>
    </w:p>
    <w:p w14:paraId="64621680">
      <w:pPr>
        <w:keepNext w:val="0"/>
        <w:keepLines w:val="0"/>
        <w:pageBreakBefore w:val="0"/>
        <w:widowControl w:val="0"/>
        <w:kinsoku w:val="0"/>
        <w:wordWrap/>
        <w:overflowPunct/>
        <w:topLinePunct w:val="0"/>
        <w:autoSpaceDE w:val="0"/>
        <w:autoSpaceDN w:val="0"/>
        <w:bidi w:val="0"/>
        <w:adjustRightInd w:val="0"/>
        <w:snapToGrid w:val="0"/>
        <w:spacing w:line="368" w:lineRule="auto"/>
        <w:ind w:left="0" w:firstLine="656"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八、国有资本经</w:t>
      </w:r>
      <w:r>
        <w:rPr>
          <w:rFonts w:hint="default" w:ascii="Times New Roman" w:hAnsi="Times New Roman" w:eastAsia="仿宋_GB2312" w:cs="Times New Roman"/>
          <w:spacing w:val="7"/>
          <w:sz w:val="31"/>
          <w:szCs w:val="31"/>
        </w:rPr>
        <w:t>营预算财政拨款支出决算情况说明</w:t>
      </w:r>
    </w:p>
    <w:p w14:paraId="55BCE43B">
      <w:pPr>
        <w:keepNext w:val="0"/>
        <w:keepLines w:val="0"/>
        <w:pageBreakBefore w:val="0"/>
        <w:kinsoku w:val="0"/>
        <w:wordWrap/>
        <w:overflowPunct/>
        <w:topLinePunct w:val="0"/>
        <w:autoSpaceDE w:val="0"/>
        <w:autoSpaceDN w:val="0"/>
        <w:bidi w:val="0"/>
        <w:adjustRightInd w:val="0"/>
        <w:snapToGrid w:val="0"/>
        <w:spacing w:line="368" w:lineRule="auto"/>
        <w:ind w:left="675"/>
        <w:textAlignment w:val="baseline"/>
        <w:rPr>
          <w:rFonts w:hint="default" w:ascii="Times New Roman" w:hAnsi="Times New Roman" w:eastAsia="仿宋_GB2312" w:cs="Times New Roman"/>
          <w:highlight w:val="none"/>
        </w:rPr>
      </w:pPr>
      <w:r>
        <w:rPr>
          <w:rFonts w:hint="eastAsia" w:ascii="Times New Roman" w:hAnsi="Times New Roman" w:eastAsia="仿宋_GB2312" w:cs="Times New Roman"/>
          <w:spacing w:val="7"/>
          <w:sz w:val="31"/>
          <w:szCs w:val="31"/>
          <w:lang w:val="en-US" w:eastAsia="zh-CN"/>
        </w:rPr>
        <w:t>我单位没有国有资本经营预算财政拨款。</w:t>
      </w:r>
    </w:p>
    <w:p w14:paraId="0ED48822">
      <w:pPr>
        <w:keepNext w:val="0"/>
        <w:keepLines w:val="0"/>
        <w:pageBreakBefore w:val="0"/>
        <w:widowControl/>
        <w:kinsoku w:val="0"/>
        <w:wordWrap/>
        <w:overflowPunct/>
        <w:topLinePunct w:val="0"/>
        <w:autoSpaceDE w:val="0"/>
        <w:autoSpaceDN w:val="0"/>
        <w:bidi w:val="0"/>
        <w:adjustRightInd w:val="0"/>
        <w:snapToGrid w:val="0"/>
        <w:spacing w:line="368" w:lineRule="auto"/>
        <w:ind w:left="675"/>
        <w:textAlignment w:val="baseline"/>
        <w:rPr>
          <w:rFonts w:hint="default" w:ascii="Times New Roman" w:hAnsi="Times New Roman" w:eastAsia="仿宋_GB2312" w:cs="Times New Roman"/>
          <w:sz w:val="31"/>
          <w:szCs w:val="31"/>
          <w:highlight w:val="none"/>
        </w:rPr>
      </w:pPr>
      <w:r>
        <w:rPr>
          <w:rFonts w:hint="default" w:ascii="Times New Roman" w:hAnsi="Times New Roman" w:eastAsia="仿宋_GB2312" w:cs="Times New Roman"/>
          <w:spacing w:val="8"/>
          <w:sz w:val="31"/>
          <w:szCs w:val="31"/>
          <w:highlight w:val="none"/>
        </w:rPr>
        <w:t>九、财政拨款“三公”经费支出决算情况说明</w:t>
      </w:r>
    </w:p>
    <w:p w14:paraId="0E48D8D6">
      <w:pPr>
        <w:keepNext w:val="0"/>
        <w:keepLines w:val="0"/>
        <w:pageBreakBefore w:val="0"/>
        <w:widowControl/>
        <w:kinsoku w:val="0"/>
        <w:wordWrap/>
        <w:overflowPunct/>
        <w:topLinePunct w:val="0"/>
        <w:autoSpaceDE w:val="0"/>
        <w:autoSpaceDN w:val="0"/>
        <w:bidi w:val="0"/>
        <w:adjustRightInd w:val="0"/>
        <w:snapToGrid w:val="0"/>
        <w:spacing w:line="368" w:lineRule="auto"/>
        <w:ind w:left="659"/>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5"/>
          <w:sz w:val="31"/>
          <w:szCs w:val="31"/>
        </w:rPr>
        <w:t>一）“三公”经费财政拨款支出决算总体情况说明</w:t>
      </w:r>
    </w:p>
    <w:p w14:paraId="28D77DFA">
      <w:pPr>
        <w:keepNext w:val="0"/>
        <w:keepLines w:val="0"/>
        <w:pageBreakBefore w:val="0"/>
        <w:widowControl/>
        <w:kinsoku w:val="0"/>
        <w:wordWrap/>
        <w:overflowPunct/>
        <w:topLinePunct w:val="0"/>
        <w:autoSpaceDE w:val="0"/>
        <w:autoSpaceDN w:val="0"/>
        <w:bidi w:val="0"/>
        <w:adjustRightInd w:val="0"/>
        <w:snapToGrid w:val="0"/>
        <w:spacing w:line="368" w:lineRule="auto"/>
        <w:ind w:left="671"/>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年度“三公”经费财政拨款支出预算为</w:t>
      </w:r>
      <w:r>
        <w:rPr>
          <w:rFonts w:hint="eastAsia" w:ascii="Times New Roman" w:hAnsi="Times New Roman" w:eastAsia="仿宋_GB2312" w:cs="Times New Roman"/>
          <w:spacing w:val="4"/>
          <w:sz w:val="31"/>
          <w:szCs w:val="31"/>
          <w:lang w:val="en-US" w:eastAsia="zh-CN"/>
        </w:rPr>
        <w:t>96</w:t>
      </w:r>
      <w:r>
        <w:rPr>
          <w:rFonts w:hint="default" w:ascii="Times New Roman" w:hAnsi="Times New Roman" w:eastAsia="仿宋_GB2312" w:cs="Times New Roman"/>
          <w:spacing w:val="4"/>
          <w:sz w:val="31"/>
          <w:szCs w:val="31"/>
        </w:rPr>
        <w:t>万元，支</w:t>
      </w:r>
    </w:p>
    <w:p w14:paraId="2A4DD516">
      <w:pPr>
        <w:keepNext w:val="0"/>
        <w:keepLines w:val="0"/>
        <w:pageBreakBefore w:val="0"/>
        <w:widowControl/>
        <w:tabs>
          <w:tab w:val="left" w:pos="2996"/>
        </w:tabs>
        <w:kinsoku w:val="0"/>
        <w:wordWrap/>
        <w:overflowPunct/>
        <w:topLinePunct w:val="0"/>
        <w:autoSpaceDE w:val="0"/>
        <w:autoSpaceDN w:val="0"/>
        <w:bidi w:val="0"/>
        <w:adjustRightInd w:val="0"/>
        <w:snapToGrid w:val="0"/>
        <w:spacing w:line="368" w:lineRule="auto"/>
        <w:jc w:val="left"/>
        <w:textAlignment w:val="baseline"/>
        <w:rPr>
          <w:rFonts w:hint="default" w:ascii="Times New Roman" w:hAnsi="Times New Roman" w:eastAsia="仿宋_GB2312" w:cs="Times New Roman"/>
          <w:sz w:val="31"/>
          <w:szCs w:val="31"/>
          <w:highlight w:val="yellow"/>
        </w:rPr>
      </w:pPr>
      <w:r>
        <w:rPr>
          <w:rFonts w:hint="default" w:ascii="Times New Roman" w:hAnsi="Times New Roman" w:eastAsia="仿宋_GB2312" w:cs="Times New Roman"/>
          <w:spacing w:val="-1"/>
          <w:sz w:val="31"/>
          <w:szCs w:val="31"/>
        </w:rPr>
        <w:t>出决算为</w:t>
      </w:r>
      <w:r>
        <w:rPr>
          <w:rFonts w:hint="eastAsia" w:ascii="Times New Roman" w:hAnsi="Times New Roman" w:eastAsia="仿宋_GB2312" w:cs="Times New Roman"/>
          <w:spacing w:val="-1"/>
          <w:sz w:val="31"/>
          <w:szCs w:val="31"/>
          <w:lang w:val="en-US" w:eastAsia="zh-CN"/>
        </w:rPr>
        <w:t>94.1</w:t>
      </w:r>
      <w:r>
        <w:rPr>
          <w:rFonts w:hint="default" w:ascii="Times New Roman" w:hAnsi="Times New Roman" w:eastAsia="仿宋_GB2312" w:cs="Times New Roman"/>
          <w:spacing w:val="-1"/>
          <w:sz w:val="31"/>
          <w:szCs w:val="31"/>
        </w:rPr>
        <w:t>万元，完成预算的</w:t>
      </w:r>
      <w:r>
        <w:rPr>
          <w:rFonts w:hint="eastAsia" w:ascii="Times New Roman" w:hAnsi="Times New Roman" w:eastAsia="仿宋_GB2312" w:cs="Times New Roman"/>
          <w:spacing w:val="-1"/>
          <w:sz w:val="31"/>
          <w:szCs w:val="31"/>
          <w:lang w:val="en-US" w:eastAsia="zh-CN"/>
        </w:rPr>
        <w:t>98.02</w:t>
      </w:r>
      <w:r>
        <w:rPr>
          <w:rFonts w:hint="default" w:ascii="Times New Roman" w:hAnsi="Times New Roman" w:eastAsia="仿宋_GB2312" w:cs="Times New Roman"/>
          <w:spacing w:val="-1"/>
          <w:sz w:val="31"/>
          <w:szCs w:val="31"/>
        </w:rPr>
        <w:t>%；较</w:t>
      </w:r>
      <w:r>
        <w:rPr>
          <w:rFonts w:hint="default" w:ascii="Times New Roman" w:hAnsi="Times New Roman" w:eastAsia="仿宋_GB2312" w:cs="Times New Roman"/>
          <w:spacing w:val="-26"/>
          <w:sz w:val="31"/>
          <w:szCs w:val="31"/>
        </w:rPr>
        <w:t xml:space="preserve"> </w:t>
      </w:r>
      <w:r>
        <w:rPr>
          <w:rFonts w:hint="default" w:ascii="Times New Roman" w:hAnsi="Times New Roman" w:eastAsia="仿宋_GB2312" w:cs="Times New Roman"/>
          <w:spacing w:val="-1"/>
          <w:sz w:val="31"/>
          <w:szCs w:val="31"/>
        </w:rPr>
        <w:t>2022</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1"/>
          <w:sz w:val="31"/>
          <w:szCs w:val="31"/>
        </w:rPr>
        <w:t>年度增加</w:t>
      </w:r>
      <w:r>
        <w:rPr>
          <w:rFonts w:hint="eastAsia" w:ascii="Times New Roman" w:hAnsi="Times New Roman" w:eastAsia="仿宋_GB2312" w:cs="Times New Roman"/>
          <w:spacing w:val="-1"/>
          <w:sz w:val="31"/>
          <w:szCs w:val="31"/>
          <w:lang w:val="en-US" w:eastAsia="zh-CN"/>
        </w:rPr>
        <w:t>5.8</w:t>
      </w:r>
      <w:r>
        <w:rPr>
          <w:rFonts w:hint="default" w:ascii="Times New Roman" w:hAnsi="Times New Roman" w:eastAsia="仿宋_GB2312" w:cs="Times New Roman"/>
          <w:spacing w:val="4"/>
          <w:sz w:val="31"/>
          <w:szCs w:val="31"/>
        </w:rPr>
        <w:t>万元，增长</w:t>
      </w:r>
      <w:r>
        <w:rPr>
          <w:rFonts w:hint="eastAsia" w:ascii="Times New Roman" w:hAnsi="Times New Roman" w:eastAsia="仿宋_GB2312" w:cs="Times New Roman"/>
          <w:spacing w:val="4"/>
          <w:sz w:val="31"/>
          <w:szCs w:val="31"/>
          <w:lang w:val="en-US" w:eastAsia="zh-CN"/>
        </w:rPr>
        <w:t>6.57</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1"/>
          <w:sz w:val="31"/>
          <w:szCs w:val="31"/>
        </w:rPr>
        <w:t>主要原因是</w:t>
      </w:r>
      <w:r>
        <w:rPr>
          <w:rFonts w:hint="eastAsia" w:ascii="Times New Roman" w:hAnsi="Times New Roman" w:eastAsia="仿宋_GB2312" w:cs="Times New Roman"/>
          <w:spacing w:val="-1"/>
          <w:sz w:val="31"/>
          <w:szCs w:val="31"/>
          <w:lang w:val="en-US" w:eastAsia="zh-CN"/>
        </w:rPr>
        <w:t>预算内正常支出</w:t>
      </w:r>
      <w:r>
        <w:rPr>
          <w:rFonts w:hint="default" w:ascii="Times New Roman" w:hAnsi="Times New Roman" w:eastAsia="仿宋_GB2312" w:cs="Times New Roman"/>
          <w:spacing w:val="4"/>
          <w:sz w:val="31"/>
          <w:szCs w:val="31"/>
          <w:highlight w:val="none"/>
        </w:rPr>
        <w:t>。决算数小</w:t>
      </w:r>
      <w:r>
        <w:rPr>
          <w:rFonts w:hint="default" w:ascii="Times New Roman" w:hAnsi="Times New Roman" w:eastAsia="仿宋_GB2312" w:cs="Times New Roman"/>
          <w:spacing w:val="-3"/>
          <w:sz w:val="31"/>
          <w:szCs w:val="31"/>
          <w:highlight w:val="none"/>
        </w:rPr>
        <w:t>于预算数。</w:t>
      </w:r>
    </w:p>
    <w:p w14:paraId="2AADC8E4">
      <w:pPr>
        <w:spacing w:before="50"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（二）“三公”经费财政拨款支出决算具体情况说明</w:t>
      </w:r>
    </w:p>
    <w:p w14:paraId="1B6C861A">
      <w:pPr>
        <w:spacing w:before="248" w:line="366" w:lineRule="auto"/>
        <w:ind w:left="23" w:right="74" w:firstLine="668"/>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 xml:space="preserve">1.因公出国（境）费预算为 </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万元,支出决算为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0</w:t>
      </w:r>
      <w:r>
        <w:rPr>
          <w:rFonts w:hint="default" w:ascii="Times New Roman" w:hAnsi="Times New Roman" w:eastAsia="仿宋_GB2312" w:cs="Times New Roman"/>
          <w:spacing w:val="3"/>
          <w:sz w:val="31"/>
          <w:szCs w:val="31"/>
        </w:rPr>
        <w:t>万</w:t>
      </w:r>
      <w:r>
        <w:rPr>
          <w:rFonts w:hint="default" w:ascii="Times New Roman" w:hAnsi="Times New Roman" w:eastAsia="仿宋_GB2312" w:cs="Times New Roman"/>
          <w:spacing w:val="2"/>
          <w:sz w:val="31"/>
          <w:szCs w:val="31"/>
        </w:rPr>
        <w:t>元</w:t>
      </w:r>
      <w:r>
        <w:rPr>
          <w:rFonts w:hint="default" w:ascii="Times New Roman" w:hAnsi="Times New Roman" w:eastAsia="仿宋_GB2312" w:cs="Times New Roman"/>
          <w:sz w:val="31"/>
          <w:szCs w:val="31"/>
        </w:rPr>
        <w:t>；支出决算较</w:t>
      </w:r>
      <w:r>
        <w:rPr>
          <w:rFonts w:hint="default" w:ascii="Times New Roman" w:hAnsi="Times New Roman" w:eastAsia="仿宋_GB2312" w:cs="Times New Roman"/>
          <w:spacing w:val="-51"/>
          <w:sz w:val="31"/>
          <w:szCs w:val="31"/>
        </w:rPr>
        <w:t xml:space="preserve"> </w:t>
      </w:r>
      <w:r>
        <w:rPr>
          <w:rFonts w:hint="default" w:ascii="Times New Roman" w:hAnsi="Times New Roman" w:eastAsia="仿宋_GB2312" w:cs="Times New Roman"/>
          <w:sz w:val="31"/>
          <w:szCs w:val="31"/>
        </w:rPr>
        <w:t>2022</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z w:val="31"/>
          <w:szCs w:val="31"/>
        </w:rPr>
        <w:t>年度增加</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2"/>
          <w:sz w:val="31"/>
          <w:szCs w:val="31"/>
        </w:rPr>
        <w:t>。全年共有因公出国（境）</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2"/>
          <w:sz w:val="31"/>
          <w:szCs w:val="31"/>
        </w:rPr>
        <w:t>团组</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 xml:space="preserve"> 个，</w:t>
      </w:r>
      <w:r>
        <w:rPr>
          <w:rFonts w:hint="default" w:ascii="Times New Roman" w:hAnsi="Times New Roman" w:eastAsia="仿宋_GB2312" w:cs="Times New Roman"/>
          <w:spacing w:val="-93"/>
          <w:sz w:val="31"/>
          <w:szCs w:val="31"/>
        </w:rPr>
        <w:t xml:space="preserve"> </w:t>
      </w:r>
      <w:r>
        <w:rPr>
          <w:rFonts w:hint="default" w:ascii="Times New Roman" w:hAnsi="Times New Roman" w:eastAsia="仿宋_GB2312" w:cs="Times New Roman"/>
          <w:spacing w:val="2"/>
          <w:sz w:val="31"/>
          <w:szCs w:val="31"/>
        </w:rPr>
        <w:t>因公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出国（境）</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人次。</w:t>
      </w:r>
    </w:p>
    <w:p w14:paraId="0F97A168">
      <w:pPr>
        <w:spacing w:before="57" w:line="364" w:lineRule="auto"/>
        <w:ind w:left="23" w:right="156" w:firstLine="648"/>
        <w:rPr>
          <w:rFonts w:hint="default" w:ascii="Times New Roman" w:hAnsi="Times New Roman" w:eastAsia="仿宋_GB2312" w:cs="Times New Roman"/>
          <w:sz w:val="31"/>
          <w:szCs w:val="31"/>
        </w:rPr>
      </w:pPr>
      <w:r>
        <w:rPr>
          <w:rFonts w:hint="default" w:ascii="Times New Roman" w:hAnsi="Times New Roman" w:eastAsia="仿宋_GB2312" w:cs="Times New Roman"/>
          <w:spacing w:val="21"/>
          <w:sz w:val="31"/>
          <w:szCs w:val="31"/>
        </w:rPr>
        <w:t>2.公务用车购置及运行费预算为</w:t>
      </w:r>
      <w:r>
        <w:rPr>
          <w:rFonts w:hint="eastAsia" w:ascii="Times New Roman" w:hAnsi="Times New Roman" w:eastAsia="仿宋_GB2312" w:cs="Times New Roman"/>
          <w:spacing w:val="21"/>
          <w:sz w:val="31"/>
          <w:szCs w:val="31"/>
          <w:lang w:val="en-US" w:eastAsia="zh-CN"/>
        </w:rPr>
        <w:t>96</w:t>
      </w:r>
      <w:r>
        <w:rPr>
          <w:rFonts w:hint="default" w:ascii="Times New Roman" w:hAnsi="Times New Roman" w:eastAsia="仿宋_GB2312" w:cs="Times New Roman"/>
          <w:spacing w:val="21"/>
          <w:sz w:val="31"/>
          <w:szCs w:val="31"/>
        </w:rPr>
        <w:t>万元</w:t>
      </w:r>
      <w:r>
        <w:rPr>
          <w:rFonts w:hint="default" w:ascii="Times New Roman" w:hAnsi="Times New Roman" w:eastAsia="仿宋_GB2312" w:cs="Times New Roman"/>
          <w:spacing w:val="20"/>
          <w:sz w:val="31"/>
          <w:szCs w:val="31"/>
        </w:rPr>
        <w:t>，支出决算为</w:t>
      </w:r>
      <w:r>
        <w:rPr>
          <w:rFonts w:hint="default" w:ascii="Times New Roman" w:hAnsi="Times New Roman" w:eastAsia="仿宋_GB2312" w:cs="Times New Roman"/>
          <w:sz w:val="31"/>
          <w:szCs w:val="31"/>
        </w:rPr>
        <w:t xml:space="preserve"> </w:t>
      </w:r>
      <w:r>
        <w:rPr>
          <w:rFonts w:hint="eastAsia" w:ascii="Times New Roman" w:hAnsi="Times New Roman" w:eastAsia="仿宋_GB2312" w:cs="Times New Roman"/>
          <w:sz w:val="31"/>
          <w:szCs w:val="31"/>
          <w:lang w:val="en-US" w:eastAsia="zh-CN"/>
        </w:rPr>
        <w:t>94.1</w:t>
      </w:r>
      <w:r>
        <w:rPr>
          <w:rFonts w:hint="default" w:ascii="Times New Roman" w:hAnsi="Times New Roman" w:eastAsia="仿宋_GB2312" w:cs="Times New Roman"/>
          <w:spacing w:val="4"/>
          <w:sz w:val="31"/>
          <w:szCs w:val="31"/>
        </w:rPr>
        <w:t>万元，完成预算的</w:t>
      </w:r>
      <w:r>
        <w:rPr>
          <w:rFonts w:hint="eastAsia" w:ascii="Times New Roman" w:hAnsi="Times New Roman" w:eastAsia="仿宋_GB2312" w:cs="Times New Roman"/>
          <w:spacing w:val="4"/>
          <w:sz w:val="31"/>
          <w:szCs w:val="31"/>
          <w:lang w:val="en-US" w:eastAsia="zh-CN"/>
        </w:rPr>
        <w:t>98.02</w:t>
      </w:r>
      <w:r>
        <w:rPr>
          <w:rFonts w:hint="default" w:ascii="Times New Roman" w:hAnsi="Times New Roman" w:eastAsia="仿宋_GB2312" w:cs="Times New Roman"/>
          <w:spacing w:val="4"/>
          <w:sz w:val="31"/>
          <w:szCs w:val="31"/>
        </w:rPr>
        <w:t>%；较</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61"/>
          <w:sz w:val="31"/>
          <w:szCs w:val="31"/>
        </w:rPr>
        <w:t xml:space="preserve"> </w:t>
      </w:r>
      <w:r>
        <w:rPr>
          <w:rFonts w:hint="default" w:ascii="Times New Roman" w:hAnsi="Times New Roman" w:eastAsia="仿宋_GB2312" w:cs="Times New Roman"/>
          <w:spacing w:val="4"/>
          <w:sz w:val="31"/>
          <w:szCs w:val="31"/>
        </w:rPr>
        <w:t>年度增加</w:t>
      </w:r>
      <w:r>
        <w:rPr>
          <w:rFonts w:hint="eastAsia" w:ascii="Times New Roman" w:hAnsi="Times New Roman" w:eastAsia="仿宋_GB2312" w:cs="Times New Roman"/>
          <w:spacing w:val="4"/>
          <w:sz w:val="31"/>
          <w:szCs w:val="31"/>
          <w:lang w:val="en-US" w:eastAsia="zh-CN"/>
        </w:rPr>
        <w:t>5.8</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增长</w:t>
      </w:r>
      <w:r>
        <w:rPr>
          <w:rFonts w:hint="eastAsia" w:ascii="Times New Roman" w:hAnsi="Times New Roman" w:eastAsia="仿宋_GB2312" w:cs="Times New Roman"/>
          <w:spacing w:val="6"/>
          <w:sz w:val="31"/>
          <w:szCs w:val="31"/>
          <w:lang w:val="en-US" w:eastAsia="zh-CN"/>
        </w:rPr>
        <w:t>6.57</w:t>
      </w:r>
      <w:r>
        <w:rPr>
          <w:rFonts w:hint="default" w:ascii="Times New Roman" w:hAnsi="Times New Roman" w:eastAsia="仿宋_GB2312" w:cs="Times New Roman"/>
          <w:spacing w:val="6"/>
          <w:sz w:val="31"/>
          <w:szCs w:val="31"/>
        </w:rPr>
        <w:t>%，主要原因</w:t>
      </w:r>
      <w:r>
        <w:rPr>
          <w:rFonts w:hint="eastAsia" w:ascii="Times New Roman" w:hAnsi="Times New Roman" w:eastAsia="仿宋_GB2312" w:cs="Times New Roman"/>
          <w:spacing w:val="-1"/>
          <w:sz w:val="31"/>
          <w:szCs w:val="31"/>
          <w:lang w:val="en-US" w:eastAsia="zh-CN"/>
        </w:rPr>
        <w:t>预算内正常支出</w:t>
      </w:r>
      <w:r>
        <w:rPr>
          <w:rFonts w:hint="default" w:ascii="Times New Roman" w:hAnsi="Times New Roman" w:eastAsia="仿宋_GB2312" w:cs="Times New Roman"/>
          <w:spacing w:val="6"/>
          <w:sz w:val="31"/>
          <w:szCs w:val="31"/>
        </w:rPr>
        <w:t>。决算数小于预算数</w:t>
      </w:r>
      <w:r>
        <w:rPr>
          <w:rFonts w:hint="default" w:ascii="Times New Roman" w:hAnsi="Times New Roman" w:eastAsia="仿宋_GB2312" w:cs="Times New Roman"/>
          <w:sz w:val="31"/>
          <w:szCs w:val="31"/>
        </w:rPr>
        <w:t xml:space="preserve"> </w:t>
      </w:r>
      <w:r>
        <w:rPr>
          <w:rFonts w:hint="eastAsia" w:ascii="Times New Roman" w:hAnsi="Times New Roman" w:eastAsia="仿宋_GB2312" w:cs="Times New Roman"/>
          <w:sz w:val="31"/>
          <w:szCs w:val="31"/>
          <w:lang w:eastAsia="zh-CN"/>
        </w:rPr>
        <w:t>，</w:t>
      </w:r>
      <w:r>
        <w:rPr>
          <w:rFonts w:hint="eastAsia" w:ascii="Times New Roman" w:hAnsi="Times New Roman" w:eastAsia="仿宋_GB2312" w:cs="Times New Roman"/>
          <w:sz w:val="31"/>
          <w:szCs w:val="31"/>
          <w:lang w:val="en-US" w:eastAsia="zh-CN"/>
        </w:rPr>
        <w:t>为</w:t>
      </w:r>
      <w:r>
        <w:rPr>
          <w:rFonts w:hint="default" w:ascii="Times New Roman" w:hAnsi="Times New Roman" w:eastAsia="仿宋_GB2312" w:cs="Times New Roman"/>
          <w:spacing w:val="-100"/>
          <w:sz w:val="31"/>
          <w:szCs w:val="31"/>
        </w:rPr>
        <w:t xml:space="preserve"> </w:t>
      </w:r>
      <w:r>
        <w:rPr>
          <w:rFonts w:hint="eastAsia" w:ascii="Times New Roman" w:hAnsi="Times New Roman" w:eastAsia="仿宋_GB2312" w:cs="Times New Roman"/>
          <w:spacing w:val="-1"/>
          <w:sz w:val="31"/>
          <w:szCs w:val="31"/>
          <w:lang w:val="en-US" w:eastAsia="zh-CN"/>
        </w:rPr>
        <w:t>预算内正常支出</w:t>
      </w:r>
      <w:r>
        <w:rPr>
          <w:rFonts w:hint="default" w:ascii="Times New Roman" w:hAnsi="Times New Roman" w:eastAsia="仿宋_GB2312" w:cs="Times New Roman"/>
          <w:spacing w:val="-9"/>
          <w:sz w:val="31"/>
          <w:szCs w:val="31"/>
        </w:rPr>
        <w:t>。其中：</w:t>
      </w:r>
    </w:p>
    <w:p w14:paraId="426A74A9">
      <w:pPr>
        <w:keepNext w:val="0"/>
        <w:keepLines w:val="0"/>
        <w:pageBreakBefore w:val="0"/>
        <w:widowControl/>
        <w:kinsoku w:val="0"/>
        <w:wordWrap/>
        <w:overflowPunct/>
        <w:topLinePunct w:val="0"/>
        <w:autoSpaceDE w:val="0"/>
        <w:autoSpaceDN w:val="0"/>
        <w:bidi w:val="0"/>
        <w:adjustRightInd w:val="0"/>
        <w:snapToGrid w:val="0"/>
        <w:spacing w:before="57" w:line="368" w:lineRule="auto"/>
        <w:ind w:left="23" w:right="156" w:firstLine="648"/>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lang w:val="en-US" w:eastAsia="zh-CN"/>
        </w:rPr>
        <w:t>公务用车购置费支出</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lang w:val="en-US" w:eastAsia="zh-CN"/>
        </w:rPr>
        <w:t>万元。截至 2023年 12 月 31 日，公务用车保有量为</w:t>
      </w:r>
      <w:r>
        <w:rPr>
          <w:rFonts w:hint="eastAsia" w:ascii="Times New Roman" w:hAnsi="Times New Roman" w:eastAsia="仿宋_GB2312" w:cs="Times New Roman"/>
          <w:sz w:val="31"/>
          <w:szCs w:val="31"/>
          <w:lang w:val="en-US" w:eastAsia="zh-CN"/>
        </w:rPr>
        <w:t>16</w:t>
      </w:r>
      <w:r>
        <w:rPr>
          <w:rFonts w:hint="default" w:ascii="Times New Roman" w:hAnsi="Times New Roman" w:eastAsia="仿宋_GB2312" w:cs="Times New Roman"/>
          <w:sz w:val="31"/>
          <w:szCs w:val="31"/>
          <w:lang w:val="en-US" w:eastAsia="zh-CN"/>
        </w:rPr>
        <w:t>辆,公务用车购置数为</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lang w:val="en-US" w:eastAsia="zh-CN"/>
        </w:rPr>
        <w:t>辆。</w:t>
      </w:r>
    </w:p>
    <w:p w14:paraId="692A30D8">
      <w:pPr>
        <w:keepNext w:val="0"/>
        <w:keepLines w:val="0"/>
        <w:pageBreakBefore w:val="0"/>
        <w:widowControl/>
        <w:kinsoku w:val="0"/>
        <w:wordWrap/>
        <w:overflowPunct/>
        <w:topLinePunct w:val="0"/>
        <w:autoSpaceDE w:val="0"/>
        <w:autoSpaceDN w:val="0"/>
        <w:bidi w:val="0"/>
        <w:adjustRightInd w:val="0"/>
        <w:snapToGrid w:val="0"/>
        <w:spacing w:before="57" w:line="368" w:lineRule="auto"/>
        <w:ind w:left="23" w:right="156" w:firstLine="648"/>
        <w:textAlignment w:val="baseline"/>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z w:val="31"/>
          <w:szCs w:val="31"/>
          <w:lang w:val="en-US" w:eastAsia="zh-CN"/>
        </w:rPr>
        <w:t>公务用车运行维护费支出</w:t>
      </w:r>
      <w:r>
        <w:rPr>
          <w:rFonts w:hint="eastAsia" w:ascii="Times New Roman" w:hAnsi="Times New Roman" w:eastAsia="仿宋_GB2312" w:cs="Times New Roman"/>
          <w:sz w:val="31"/>
          <w:szCs w:val="31"/>
          <w:lang w:val="en-US" w:eastAsia="zh-CN"/>
        </w:rPr>
        <w:t>94.1</w:t>
      </w:r>
      <w:r>
        <w:rPr>
          <w:rFonts w:hint="default" w:ascii="Times New Roman" w:hAnsi="Times New Roman" w:eastAsia="仿宋_GB2312" w:cs="Times New Roman"/>
          <w:sz w:val="31"/>
          <w:szCs w:val="31"/>
          <w:lang w:val="en-US" w:eastAsia="zh-CN"/>
        </w:rPr>
        <w:t>万元，主要是</w:t>
      </w:r>
      <w:r>
        <w:rPr>
          <w:rFonts w:hint="eastAsia" w:ascii="Times New Roman" w:hAnsi="Times New Roman" w:eastAsia="仿宋_GB2312" w:cs="Times New Roman"/>
          <w:sz w:val="31"/>
          <w:szCs w:val="31"/>
          <w:lang w:val="en-US" w:eastAsia="zh-CN"/>
        </w:rPr>
        <w:t>公务用车的修理及加油</w:t>
      </w:r>
      <w:r>
        <w:rPr>
          <w:rFonts w:hint="default" w:ascii="Times New Roman" w:hAnsi="Times New Roman" w:eastAsia="仿宋_GB2312" w:cs="Times New Roman"/>
          <w:sz w:val="31"/>
          <w:szCs w:val="31"/>
          <w:lang w:val="en-US" w:eastAsia="zh-CN"/>
        </w:rPr>
        <w:t>。</w:t>
      </w:r>
    </w:p>
    <w:p w14:paraId="0041E79C">
      <w:pPr>
        <w:keepNext w:val="0"/>
        <w:keepLines w:val="0"/>
        <w:pageBreakBefore w:val="0"/>
        <w:widowControl/>
        <w:kinsoku w:val="0"/>
        <w:wordWrap/>
        <w:overflowPunct/>
        <w:topLinePunct w:val="0"/>
        <w:autoSpaceDE w:val="0"/>
        <w:autoSpaceDN w:val="0"/>
        <w:bidi w:val="0"/>
        <w:adjustRightInd w:val="0"/>
        <w:snapToGrid w:val="0"/>
        <w:spacing w:line="368" w:lineRule="auto"/>
        <w:ind w:left="21" w:right="3" w:firstLine="644"/>
        <w:jc w:val="both"/>
        <w:textAlignment w:val="baseline"/>
        <w:rPr>
          <w:rFonts w:hint="default" w:ascii="Times New Roman" w:hAnsi="Times New Roman" w:eastAsia="仿宋_GB2312" w:cs="Times New Roman"/>
          <w:spacing w:val="-20"/>
          <w:sz w:val="31"/>
          <w:szCs w:val="31"/>
        </w:rPr>
      </w:pPr>
      <w:r>
        <w:rPr>
          <w:rFonts w:hint="default" w:ascii="Times New Roman" w:hAnsi="Times New Roman" w:eastAsia="仿宋_GB2312" w:cs="Times New Roman"/>
          <w:spacing w:val="7"/>
          <w:sz w:val="31"/>
          <w:szCs w:val="31"/>
        </w:rPr>
        <w:t>公务接待费预算为</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万元，支出决算为</w:t>
      </w:r>
      <w:r>
        <w:rPr>
          <w:rFonts w:hint="eastAsia" w:ascii="Times New Roman" w:hAnsi="Times New Roman" w:eastAsia="仿宋_GB2312" w:cs="Times New Roman"/>
          <w:spacing w:val="21"/>
          <w:sz w:val="31"/>
          <w:szCs w:val="31"/>
          <w:lang w:val="en-US" w:eastAsia="zh-CN"/>
        </w:rPr>
        <w:t>0</w:t>
      </w:r>
      <w:r>
        <w:rPr>
          <w:rFonts w:hint="default" w:ascii="Times New Roman" w:hAnsi="Times New Roman" w:eastAsia="仿宋_GB2312" w:cs="Times New Roman"/>
          <w:spacing w:val="7"/>
          <w:sz w:val="31"/>
          <w:szCs w:val="31"/>
        </w:rPr>
        <w:t>万元</w:t>
      </w:r>
      <w:r>
        <w:rPr>
          <w:rFonts w:hint="default" w:ascii="Times New Roman" w:hAnsi="Times New Roman" w:eastAsia="仿宋_GB2312" w:cs="Times New Roman"/>
          <w:spacing w:val="-20"/>
          <w:sz w:val="31"/>
          <w:szCs w:val="31"/>
        </w:rPr>
        <w:t>。</w:t>
      </w:r>
    </w:p>
    <w:p w14:paraId="40739640">
      <w:pPr>
        <w:keepNext w:val="0"/>
        <w:keepLines w:val="0"/>
        <w:pageBreakBefore w:val="0"/>
        <w:widowControl/>
        <w:kinsoku w:val="0"/>
        <w:wordWrap/>
        <w:overflowPunct/>
        <w:topLinePunct w:val="0"/>
        <w:autoSpaceDE w:val="0"/>
        <w:autoSpaceDN w:val="0"/>
        <w:bidi w:val="0"/>
        <w:adjustRightInd w:val="0"/>
        <w:snapToGrid w:val="0"/>
        <w:spacing w:line="368" w:lineRule="auto"/>
        <w:ind w:left="21" w:right="3" w:firstLine="644"/>
        <w:jc w:val="both"/>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20"/>
          <w:sz w:val="31"/>
          <w:szCs w:val="31"/>
        </w:rPr>
        <w:t>其中：</w:t>
      </w:r>
    </w:p>
    <w:p w14:paraId="36789083">
      <w:pPr>
        <w:keepNext w:val="0"/>
        <w:keepLines w:val="0"/>
        <w:pageBreakBefore w:val="0"/>
        <w:widowControl/>
        <w:kinsoku w:val="0"/>
        <w:wordWrap/>
        <w:overflowPunct/>
        <w:topLinePunct w:val="0"/>
        <w:autoSpaceDE w:val="0"/>
        <w:autoSpaceDN w:val="0"/>
        <w:bidi w:val="0"/>
        <w:adjustRightInd w:val="0"/>
        <w:snapToGrid w:val="0"/>
        <w:spacing w:line="368" w:lineRule="auto"/>
        <w:ind w:left="33" w:firstLine="649"/>
        <w:jc w:val="both"/>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外事接待费支出</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万元。全年共接</w:t>
      </w:r>
      <w:r>
        <w:rPr>
          <w:rFonts w:hint="default" w:ascii="Times New Roman" w:hAnsi="Times New Roman" w:eastAsia="仿宋_GB2312" w:cs="Times New Roman"/>
          <w:spacing w:val="7"/>
          <w:sz w:val="31"/>
          <w:szCs w:val="31"/>
        </w:rPr>
        <w:t>待外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事来访团组数</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个、来访外宾</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人次（不包括陪同人员）</w:t>
      </w:r>
      <w:r>
        <w:rPr>
          <w:rFonts w:hint="default" w:ascii="Times New Roman" w:hAnsi="Times New Roman" w:eastAsia="仿宋_GB2312" w:cs="Times New Roman"/>
          <w:spacing w:val="-3"/>
          <w:sz w:val="31"/>
          <w:szCs w:val="31"/>
        </w:rPr>
        <w:t>。</w:t>
      </w:r>
    </w:p>
    <w:p w14:paraId="0864BDB5">
      <w:pPr>
        <w:keepNext w:val="0"/>
        <w:keepLines w:val="0"/>
        <w:pageBreakBefore w:val="0"/>
        <w:widowControl/>
        <w:kinsoku w:val="0"/>
        <w:wordWrap/>
        <w:overflowPunct/>
        <w:topLinePunct w:val="0"/>
        <w:autoSpaceDE w:val="0"/>
        <w:autoSpaceDN w:val="0"/>
        <w:bidi w:val="0"/>
        <w:adjustRightInd w:val="0"/>
        <w:snapToGrid w:val="0"/>
        <w:spacing w:line="368" w:lineRule="auto"/>
        <w:ind w:left="26" w:right="90" w:firstLine="640"/>
        <w:jc w:val="both"/>
        <w:textAlignment w:val="baseline"/>
        <w:rPr>
          <w:rFonts w:hint="default" w:ascii="Times New Roman" w:hAnsi="Times New Roman" w:eastAsia="仿宋_GB2312" w:cs="Times New Roman"/>
          <w:highlight w:val="none"/>
        </w:rPr>
      </w:pPr>
      <w:r>
        <w:rPr>
          <w:rFonts w:hint="default" w:ascii="Times New Roman" w:hAnsi="Times New Roman" w:eastAsia="仿宋_GB2312" w:cs="Times New Roman"/>
          <w:spacing w:val="8"/>
          <w:sz w:val="31"/>
          <w:szCs w:val="31"/>
        </w:rPr>
        <w:t>其他国内公务接待支出</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万元。全年共</w:t>
      </w:r>
      <w:r>
        <w:rPr>
          <w:rFonts w:hint="default" w:ascii="Times New Roman" w:hAnsi="Times New Roman" w:eastAsia="仿宋_GB2312" w:cs="Times New Roman"/>
          <w:spacing w:val="22"/>
          <w:sz w:val="31"/>
          <w:szCs w:val="31"/>
        </w:rPr>
        <w:t>接待国内来访团组</w:t>
      </w:r>
      <w:r>
        <w:rPr>
          <w:rFonts w:hint="eastAsia" w:ascii="Times New Roman" w:hAnsi="Times New Roman" w:eastAsia="仿宋_GB2312" w:cs="Times New Roman"/>
          <w:spacing w:val="33"/>
          <w:sz w:val="31"/>
          <w:szCs w:val="31"/>
          <w:lang w:val="en-US" w:eastAsia="zh-CN"/>
        </w:rPr>
        <w:t>0</w:t>
      </w:r>
      <w:r>
        <w:rPr>
          <w:rFonts w:hint="default" w:ascii="Times New Roman" w:hAnsi="Times New Roman" w:eastAsia="仿宋_GB2312" w:cs="Times New Roman"/>
          <w:spacing w:val="22"/>
          <w:sz w:val="31"/>
          <w:szCs w:val="31"/>
        </w:rPr>
        <w:t>个、来宾</w:t>
      </w:r>
      <w:r>
        <w:rPr>
          <w:rFonts w:hint="eastAsia" w:ascii="Times New Roman" w:hAnsi="Times New Roman" w:eastAsia="仿宋_GB2312" w:cs="Times New Roman"/>
          <w:spacing w:val="34"/>
          <w:sz w:val="31"/>
          <w:szCs w:val="31"/>
          <w:lang w:val="en-US" w:eastAsia="zh-CN"/>
        </w:rPr>
        <w:t>0</w:t>
      </w:r>
      <w:r>
        <w:rPr>
          <w:rFonts w:hint="default" w:ascii="Times New Roman" w:hAnsi="Times New Roman" w:eastAsia="仿宋_GB2312" w:cs="Times New Roman"/>
          <w:spacing w:val="22"/>
          <w:sz w:val="31"/>
          <w:szCs w:val="31"/>
        </w:rPr>
        <w:t>人次（不包括陪同人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员） 。</w:t>
      </w:r>
    </w:p>
    <w:p w14:paraId="2F95FCDD">
      <w:pPr>
        <w:keepNext w:val="0"/>
        <w:keepLines w:val="0"/>
        <w:pageBreakBefore w:val="0"/>
        <w:widowControl/>
        <w:kinsoku w:val="0"/>
        <w:wordWrap/>
        <w:overflowPunct/>
        <w:topLinePunct w:val="0"/>
        <w:autoSpaceDE w:val="0"/>
        <w:autoSpaceDN w:val="0"/>
        <w:bidi w:val="0"/>
        <w:adjustRightInd w:val="0"/>
        <w:snapToGrid w:val="0"/>
        <w:spacing w:line="368" w:lineRule="auto"/>
        <w:ind w:left="750"/>
        <w:textAlignment w:val="baseline"/>
        <w:outlineLvl w:val="3"/>
        <w:rPr>
          <w:rFonts w:hint="default" w:ascii="Times New Roman" w:hAnsi="Times New Roman" w:eastAsia="仿宋_GB2312" w:cs="Times New Roman"/>
          <w:sz w:val="31"/>
          <w:szCs w:val="31"/>
          <w:highlight w:val="none"/>
        </w:rPr>
      </w:pPr>
      <w:r>
        <w:rPr>
          <w:rFonts w:hint="default" w:ascii="Times New Roman" w:hAnsi="Times New Roman" w:eastAsia="仿宋_GB2312" w:cs="Times New Roman"/>
          <w:spacing w:val="6"/>
          <w:sz w:val="31"/>
          <w:szCs w:val="31"/>
          <w:highlight w:val="none"/>
        </w:rPr>
        <w:t>十、关于</w:t>
      </w:r>
      <w:r>
        <w:rPr>
          <w:rFonts w:hint="default" w:ascii="Times New Roman" w:hAnsi="Times New Roman" w:eastAsia="仿宋_GB2312" w:cs="Times New Roman"/>
          <w:spacing w:val="-52"/>
          <w:sz w:val="31"/>
          <w:szCs w:val="31"/>
          <w:highlight w:val="none"/>
        </w:rPr>
        <w:t xml:space="preserve"> </w:t>
      </w:r>
      <w:r>
        <w:rPr>
          <w:rFonts w:hint="default" w:ascii="Times New Roman" w:hAnsi="Times New Roman" w:eastAsia="仿宋_GB2312" w:cs="Times New Roman"/>
          <w:spacing w:val="6"/>
          <w:sz w:val="31"/>
          <w:szCs w:val="31"/>
          <w:highlight w:val="none"/>
        </w:rPr>
        <w:t>2023</w:t>
      </w:r>
      <w:r>
        <w:rPr>
          <w:rFonts w:hint="default" w:ascii="Times New Roman" w:hAnsi="Times New Roman" w:eastAsia="仿宋_GB2312" w:cs="Times New Roman"/>
          <w:spacing w:val="-63"/>
          <w:sz w:val="31"/>
          <w:szCs w:val="31"/>
          <w:highlight w:val="none"/>
        </w:rPr>
        <w:t xml:space="preserve"> </w:t>
      </w:r>
      <w:r>
        <w:rPr>
          <w:rFonts w:hint="default" w:ascii="Times New Roman" w:hAnsi="Times New Roman" w:eastAsia="仿宋_GB2312" w:cs="Times New Roman"/>
          <w:spacing w:val="6"/>
          <w:sz w:val="31"/>
          <w:szCs w:val="31"/>
          <w:highlight w:val="none"/>
        </w:rPr>
        <w:t>年度绩效评价情况说明</w:t>
      </w:r>
    </w:p>
    <w:p w14:paraId="592BCE8F">
      <w:pPr>
        <w:keepNext w:val="0"/>
        <w:keepLines w:val="0"/>
        <w:pageBreakBefore w:val="0"/>
        <w:widowControl/>
        <w:kinsoku w:val="0"/>
        <w:wordWrap/>
        <w:overflowPunct/>
        <w:topLinePunct w:val="0"/>
        <w:autoSpaceDE w:val="0"/>
        <w:autoSpaceDN w:val="0"/>
        <w:bidi w:val="0"/>
        <w:adjustRightInd w:val="0"/>
        <w:snapToGrid w:val="0"/>
        <w:spacing w:line="368" w:lineRule="auto"/>
        <w:ind w:left="23" w:right="102" w:firstLine="648"/>
        <w:jc w:val="both"/>
        <w:textAlignment w:val="baseline"/>
        <w:rPr>
          <w:rFonts w:hint="default" w:ascii="Times New Roman" w:hAnsi="Times New Roman" w:eastAsia="仿宋_GB2312" w:cs="Times New Roman"/>
          <w:spacing w:val="10"/>
          <w:sz w:val="31"/>
          <w:szCs w:val="31"/>
          <w:highlight w:val="none"/>
        </w:rPr>
      </w:pPr>
      <w:r>
        <w:rPr>
          <w:rFonts w:hint="default" w:ascii="Times New Roman" w:hAnsi="Times New Roman" w:eastAsia="仿宋_GB2312" w:cs="Times New Roman"/>
          <w:spacing w:val="10"/>
          <w:sz w:val="31"/>
          <w:szCs w:val="31"/>
          <w:highlight w:val="none"/>
        </w:rPr>
        <w:t>（ 一）绩效评价工作开展情况。绩效评价工作开展情况 说明为：根据预算绩效管理要求，本部门组织对</w:t>
      </w:r>
      <w:r>
        <w:rPr>
          <w:rFonts w:hint="default" w:ascii="Times New Roman" w:hAnsi="Times New Roman" w:eastAsia="仿宋_GB2312" w:cs="Times New Roman"/>
          <w:spacing w:val="10"/>
          <w:sz w:val="31"/>
          <w:szCs w:val="31"/>
          <w:highlight w:val="none"/>
          <w:lang w:val="en-US" w:eastAsia="zh-CN"/>
        </w:rPr>
        <w:t>中央转移支付</w:t>
      </w:r>
      <w:r>
        <w:rPr>
          <w:rFonts w:hint="default" w:ascii="Times New Roman" w:hAnsi="Times New Roman" w:eastAsia="仿宋_GB2312" w:cs="Times New Roman"/>
          <w:spacing w:val="10"/>
          <w:sz w:val="31"/>
          <w:szCs w:val="31"/>
          <w:highlight w:val="none"/>
        </w:rPr>
        <w:t>项目</w:t>
      </w:r>
      <w:r>
        <w:rPr>
          <w:rFonts w:hint="default" w:ascii="Times New Roman" w:hAnsi="Times New Roman" w:eastAsia="仿宋_GB2312" w:cs="Times New Roman"/>
          <w:spacing w:val="10"/>
          <w:sz w:val="31"/>
          <w:szCs w:val="31"/>
          <w:highlight w:val="none"/>
          <w:lang w:val="en-US" w:eastAsia="zh-CN"/>
        </w:rPr>
        <w:t>资金</w:t>
      </w:r>
      <w:r>
        <w:rPr>
          <w:rFonts w:hint="default" w:ascii="Times New Roman" w:hAnsi="Times New Roman" w:eastAsia="仿宋_GB2312" w:cs="Times New Roman"/>
          <w:spacing w:val="10"/>
          <w:sz w:val="31"/>
          <w:szCs w:val="31"/>
          <w:highlight w:val="none"/>
        </w:rPr>
        <w:t>进行了绩效自评，共涉及资金</w:t>
      </w:r>
      <w:r>
        <w:rPr>
          <w:rFonts w:hint="eastAsia" w:ascii="Times New Roman" w:hAnsi="Times New Roman" w:eastAsia="仿宋_GB2312" w:cs="Times New Roman"/>
          <w:spacing w:val="10"/>
          <w:sz w:val="31"/>
          <w:szCs w:val="31"/>
          <w:highlight w:val="none"/>
          <w:lang w:val="en-US" w:eastAsia="zh-CN"/>
        </w:rPr>
        <w:t>50</w:t>
      </w:r>
      <w:r>
        <w:rPr>
          <w:rFonts w:hint="default" w:ascii="Times New Roman" w:hAnsi="Times New Roman" w:eastAsia="仿宋_GB2312" w:cs="Times New Roman"/>
          <w:spacing w:val="10"/>
          <w:sz w:val="31"/>
          <w:szCs w:val="31"/>
          <w:highlight w:val="none"/>
        </w:rPr>
        <w:t>万元，占部门预算财政拨款项目总额的</w:t>
      </w:r>
      <w:r>
        <w:rPr>
          <w:rFonts w:hint="eastAsia" w:ascii="Times New Roman" w:hAnsi="Times New Roman" w:eastAsia="仿宋_GB2312" w:cs="Times New Roman"/>
          <w:spacing w:val="10"/>
          <w:sz w:val="31"/>
          <w:szCs w:val="31"/>
          <w:highlight w:val="none"/>
          <w:lang w:val="en-US" w:eastAsia="zh-CN"/>
        </w:rPr>
        <w:t>93.04</w:t>
      </w:r>
      <w:r>
        <w:rPr>
          <w:rFonts w:hint="default" w:ascii="Times New Roman" w:hAnsi="Times New Roman" w:eastAsia="仿宋_GB2312" w:cs="Times New Roman"/>
          <w:spacing w:val="10"/>
          <w:sz w:val="31"/>
          <w:szCs w:val="31"/>
          <w:highlight w:val="none"/>
        </w:rPr>
        <w:t>%。</w:t>
      </w:r>
    </w:p>
    <w:p w14:paraId="53AE4AF8">
      <w:pPr>
        <w:keepNext w:val="0"/>
        <w:keepLines w:val="0"/>
        <w:pageBreakBefore w:val="0"/>
        <w:widowControl/>
        <w:kinsoku w:val="0"/>
        <w:wordWrap/>
        <w:overflowPunct/>
        <w:topLinePunct w:val="0"/>
        <w:autoSpaceDE w:val="0"/>
        <w:autoSpaceDN w:val="0"/>
        <w:bidi w:val="0"/>
        <w:adjustRightInd w:val="0"/>
        <w:snapToGrid w:val="0"/>
        <w:spacing w:line="368" w:lineRule="auto"/>
        <w:ind w:left="34" w:right="23" w:firstLine="624"/>
        <w:textAlignment w:val="baseline"/>
        <w:rPr>
          <w:rFonts w:hint="default" w:ascii="Times New Roman" w:hAnsi="Times New Roman" w:eastAsia="仿宋_GB2312" w:cs="Times New Roman"/>
          <w:sz w:val="31"/>
          <w:szCs w:val="31"/>
          <w:highlight w:val="none"/>
        </w:rPr>
      </w:pPr>
      <w:r>
        <w:rPr>
          <w:rFonts w:hint="default" w:ascii="Times New Roman" w:hAnsi="Times New Roman" w:eastAsia="仿宋_GB2312" w:cs="Times New Roman"/>
          <w:spacing w:val="-4"/>
          <w:sz w:val="31"/>
          <w:szCs w:val="31"/>
          <w:highlight w:val="none"/>
        </w:rPr>
        <w:t>（二）</w:t>
      </w:r>
      <w:r>
        <w:rPr>
          <w:rFonts w:hint="default" w:ascii="Times New Roman" w:hAnsi="Times New Roman" w:eastAsia="仿宋_GB2312" w:cs="Times New Roman"/>
          <w:spacing w:val="-63"/>
          <w:sz w:val="31"/>
          <w:szCs w:val="31"/>
          <w:highlight w:val="none"/>
        </w:rPr>
        <w:t xml:space="preserve"> </w:t>
      </w:r>
      <w:r>
        <w:rPr>
          <w:rFonts w:hint="default" w:ascii="Times New Roman" w:hAnsi="Times New Roman" w:eastAsia="仿宋_GB2312" w:cs="Times New Roman"/>
          <w:spacing w:val="-4"/>
          <w:sz w:val="31"/>
          <w:szCs w:val="31"/>
          <w:highlight w:val="none"/>
        </w:rPr>
        <w:t>项目绩效自评结果（如有）。除涉密敏感内容外，</w:t>
      </w:r>
      <w:r>
        <w:rPr>
          <w:rFonts w:hint="default" w:ascii="Times New Roman" w:hAnsi="Times New Roman" w:eastAsia="仿宋_GB2312" w:cs="Times New Roman"/>
          <w:sz w:val="31"/>
          <w:szCs w:val="31"/>
          <w:highlight w:val="none"/>
        </w:rPr>
        <w:t xml:space="preserve"> </w:t>
      </w:r>
      <w:r>
        <w:rPr>
          <w:rFonts w:hint="default" w:ascii="Times New Roman" w:hAnsi="Times New Roman" w:eastAsia="仿宋_GB2312" w:cs="Times New Roman"/>
          <w:spacing w:val="8"/>
          <w:sz w:val="31"/>
          <w:szCs w:val="31"/>
          <w:highlight w:val="none"/>
        </w:rPr>
        <w:t>省级部门原则上应予以公开。按照如下格式说明</w:t>
      </w:r>
      <w:r>
        <w:rPr>
          <w:rFonts w:hint="default" w:ascii="Times New Roman" w:hAnsi="Times New Roman" w:eastAsia="仿宋_GB2312" w:cs="Times New Roman"/>
          <w:spacing w:val="-84"/>
          <w:sz w:val="31"/>
          <w:szCs w:val="31"/>
          <w:highlight w:val="none"/>
        </w:rPr>
        <w:t xml:space="preserve"> </w:t>
      </w:r>
      <w:r>
        <w:rPr>
          <w:rFonts w:hint="default" w:ascii="Times New Roman" w:hAnsi="Times New Roman" w:eastAsia="仿宋_GB2312" w:cs="Times New Roman"/>
          <w:spacing w:val="8"/>
          <w:sz w:val="31"/>
          <w:szCs w:val="31"/>
          <w:highlight w:val="none"/>
        </w:rPr>
        <w:t>:</w:t>
      </w:r>
    </w:p>
    <w:p w14:paraId="4CF1DA02">
      <w:pPr>
        <w:keepNext w:val="0"/>
        <w:keepLines w:val="0"/>
        <w:pageBreakBefore w:val="0"/>
        <w:widowControl/>
        <w:kinsoku w:val="0"/>
        <w:wordWrap/>
        <w:overflowPunct/>
        <w:topLinePunct w:val="0"/>
        <w:autoSpaceDE w:val="0"/>
        <w:autoSpaceDN w:val="0"/>
        <w:bidi w:val="0"/>
        <w:adjustRightInd w:val="0"/>
        <w:snapToGrid w:val="0"/>
        <w:spacing w:line="368" w:lineRule="auto"/>
        <w:ind w:left="34" w:right="23" w:firstLine="624"/>
        <w:textAlignment w:val="baseline"/>
        <w:rPr>
          <w:rFonts w:hint="default" w:ascii="Times New Roman" w:hAnsi="Times New Roman" w:eastAsia="仿宋_GB2312" w:cs="Times New Roman"/>
        </w:rPr>
      </w:pPr>
      <w:r>
        <w:rPr>
          <w:rFonts w:hint="eastAsia" w:ascii="Times New Roman" w:hAnsi="Times New Roman" w:eastAsia="仿宋_GB2312" w:cs="Times New Roman"/>
          <w:spacing w:val="-4"/>
          <w:sz w:val="31"/>
          <w:szCs w:val="31"/>
          <w:highlight w:val="none"/>
          <w:lang w:val="en-US" w:eastAsia="zh-CN"/>
        </w:rPr>
        <w:t>中央转移支付资金</w:t>
      </w:r>
      <w:r>
        <w:rPr>
          <w:rFonts w:hint="default" w:ascii="Times New Roman" w:hAnsi="Times New Roman" w:eastAsia="仿宋_GB2312" w:cs="Times New Roman"/>
          <w:spacing w:val="-4"/>
          <w:sz w:val="31"/>
          <w:szCs w:val="31"/>
          <w:highlight w:val="none"/>
        </w:rPr>
        <w:t>项目绩效自评情况：根据年初设定的绩效目标，项 目绩效自评得分为</w:t>
      </w:r>
      <w:r>
        <w:rPr>
          <w:rFonts w:hint="eastAsia" w:ascii="Times New Roman" w:hAnsi="Times New Roman" w:eastAsia="仿宋_GB2312" w:cs="Times New Roman"/>
          <w:spacing w:val="-4"/>
          <w:sz w:val="31"/>
          <w:szCs w:val="31"/>
          <w:highlight w:val="none"/>
          <w:lang w:val="en-US" w:eastAsia="zh-CN"/>
        </w:rPr>
        <w:t>100</w:t>
      </w:r>
      <w:r>
        <w:rPr>
          <w:rFonts w:hint="default" w:ascii="Times New Roman" w:hAnsi="Times New Roman" w:eastAsia="仿宋_GB2312" w:cs="Times New Roman"/>
          <w:spacing w:val="-4"/>
          <w:sz w:val="31"/>
          <w:szCs w:val="31"/>
          <w:highlight w:val="none"/>
        </w:rPr>
        <w:t xml:space="preserve"> 分。项目全年预算数为</w:t>
      </w:r>
      <w:r>
        <w:rPr>
          <w:rFonts w:hint="eastAsia" w:ascii="Times New Roman" w:hAnsi="Times New Roman" w:eastAsia="仿宋_GB2312" w:cs="Times New Roman"/>
          <w:spacing w:val="-4"/>
          <w:sz w:val="31"/>
          <w:szCs w:val="31"/>
          <w:highlight w:val="none"/>
          <w:lang w:val="en-US" w:eastAsia="zh-CN"/>
        </w:rPr>
        <w:t>0</w:t>
      </w:r>
      <w:r>
        <w:rPr>
          <w:rFonts w:hint="default" w:ascii="Times New Roman" w:hAnsi="Times New Roman" w:eastAsia="仿宋_GB2312" w:cs="Times New Roman"/>
          <w:spacing w:val="-4"/>
          <w:sz w:val="31"/>
          <w:szCs w:val="31"/>
          <w:highlight w:val="none"/>
        </w:rPr>
        <w:t xml:space="preserve">万元，执行 数为 </w:t>
      </w:r>
      <w:r>
        <w:rPr>
          <w:rFonts w:hint="eastAsia" w:ascii="Times New Roman" w:hAnsi="Times New Roman" w:eastAsia="仿宋_GB2312" w:cs="Times New Roman"/>
          <w:spacing w:val="-4"/>
          <w:sz w:val="31"/>
          <w:szCs w:val="31"/>
          <w:highlight w:val="none"/>
          <w:lang w:val="en-US" w:eastAsia="zh-CN"/>
        </w:rPr>
        <w:t>53.74</w:t>
      </w:r>
      <w:r>
        <w:rPr>
          <w:rFonts w:hint="default" w:ascii="Times New Roman" w:hAnsi="Times New Roman" w:eastAsia="仿宋_GB2312" w:cs="Times New Roman"/>
          <w:spacing w:val="-4"/>
          <w:sz w:val="31"/>
          <w:szCs w:val="31"/>
          <w:highlight w:val="none"/>
        </w:rPr>
        <w:t>万元。</w:t>
      </w:r>
    </w:p>
    <w:p w14:paraId="1F69FC51">
      <w:pPr>
        <w:keepNext w:val="0"/>
        <w:keepLines w:val="0"/>
        <w:pageBreakBefore w:val="0"/>
        <w:widowControl/>
        <w:kinsoku w:val="0"/>
        <w:wordWrap/>
        <w:overflowPunct/>
        <w:topLinePunct w:val="0"/>
        <w:autoSpaceDE w:val="0"/>
        <w:autoSpaceDN w:val="0"/>
        <w:bidi w:val="0"/>
        <w:adjustRightInd w:val="0"/>
        <w:snapToGrid w:val="0"/>
        <w:spacing w:line="368" w:lineRule="auto"/>
        <w:ind w:left="671"/>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十一、其他重要事项情况说明</w:t>
      </w:r>
    </w:p>
    <w:p w14:paraId="2F266F42">
      <w:pPr>
        <w:keepNext w:val="0"/>
        <w:keepLines w:val="0"/>
        <w:pageBreakBefore w:val="0"/>
        <w:widowControl/>
        <w:kinsoku w:val="0"/>
        <w:wordWrap/>
        <w:overflowPunct/>
        <w:topLinePunct w:val="0"/>
        <w:autoSpaceDE w:val="0"/>
        <w:autoSpaceDN w:val="0"/>
        <w:bidi w:val="0"/>
        <w:adjustRightInd w:val="0"/>
        <w:snapToGrid w:val="0"/>
        <w:spacing w:line="368" w:lineRule="auto"/>
        <w:ind w:left="659"/>
        <w:textAlignment w:val="baseline"/>
        <w:rPr>
          <w:rFonts w:hint="eastAsia" w:ascii="Times New Roman" w:hAnsi="Times New Roman" w:eastAsia="仿宋_GB2312" w:cs="Times New Roman"/>
          <w:sz w:val="31"/>
          <w:szCs w:val="31"/>
          <w:lang w:val="en-US" w:eastAsia="zh-CN"/>
        </w:rPr>
      </w:pP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4"/>
          <w:sz w:val="31"/>
          <w:szCs w:val="31"/>
        </w:rPr>
        <w:t>一）机关运行经费执行情况说明</w:t>
      </w:r>
      <w:r>
        <w:rPr>
          <w:rFonts w:hint="eastAsia" w:ascii="Times New Roman" w:hAnsi="Times New Roman" w:eastAsia="仿宋_GB2312" w:cs="Times New Roman"/>
          <w:spacing w:val="4"/>
          <w:sz w:val="31"/>
          <w:szCs w:val="31"/>
          <w:lang w:val="en-US" w:eastAsia="zh-CN"/>
        </w:rPr>
        <w:t xml:space="preserve"> </w:t>
      </w:r>
    </w:p>
    <w:p w14:paraId="08A45282">
      <w:pPr>
        <w:keepNext w:val="0"/>
        <w:keepLines w:val="0"/>
        <w:pageBreakBefore w:val="0"/>
        <w:widowControl/>
        <w:kinsoku w:val="0"/>
        <w:wordWrap/>
        <w:overflowPunct/>
        <w:topLinePunct w:val="0"/>
        <w:autoSpaceDE w:val="0"/>
        <w:autoSpaceDN w:val="0"/>
        <w:bidi w:val="0"/>
        <w:adjustRightInd w:val="0"/>
        <w:snapToGrid w:val="0"/>
        <w:spacing w:line="368" w:lineRule="auto"/>
        <w:ind w:left="19" w:right="170" w:firstLine="652"/>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2023年度机关运行经费支出</w:t>
      </w:r>
      <w:r>
        <w:rPr>
          <w:rFonts w:hint="eastAsia" w:ascii="Times New Roman" w:hAnsi="Times New Roman" w:eastAsia="仿宋_GB2312" w:cs="Times New Roman"/>
          <w:spacing w:val="7"/>
          <w:sz w:val="31"/>
          <w:szCs w:val="31"/>
          <w:lang w:val="en-US" w:eastAsia="zh-CN"/>
        </w:rPr>
        <w:t>837.06</w:t>
      </w:r>
      <w:r>
        <w:rPr>
          <w:rFonts w:hint="default" w:ascii="Times New Roman" w:hAnsi="Times New Roman" w:eastAsia="仿宋_GB2312" w:cs="Times New Roman"/>
          <w:spacing w:val="7"/>
          <w:sz w:val="31"/>
          <w:szCs w:val="31"/>
        </w:rPr>
        <w:t>万元，较2022年度增加</w:t>
      </w:r>
      <w:r>
        <w:rPr>
          <w:rFonts w:hint="eastAsia" w:ascii="Times New Roman" w:hAnsi="Times New Roman" w:eastAsia="仿宋_GB2312" w:cs="Times New Roman"/>
          <w:spacing w:val="14"/>
          <w:sz w:val="31"/>
          <w:szCs w:val="31"/>
          <w:lang w:val="en-US" w:eastAsia="zh-CN"/>
        </w:rPr>
        <w:t>105.65</w:t>
      </w:r>
      <w:r>
        <w:rPr>
          <w:rFonts w:hint="default" w:ascii="Times New Roman" w:hAnsi="Times New Roman" w:eastAsia="仿宋_GB2312" w:cs="Times New Roman"/>
          <w:spacing w:val="-4"/>
          <w:sz w:val="31"/>
          <w:szCs w:val="31"/>
        </w:rPr>
        <w:t>万元，增长</w:t>
      </w:r>
      <w:r>
        <w:rPr>
          <w:rFonts w:hint="eastAsia" w:ascii="Times New Roman" w:hAnsi="Times New Roman" w:eastAsia="仿宋_GB2312" w:cs="Times New Roman"/>
          <w:spacing w:val="-4"/>
          <w:sz w:val="31"/>
          <w:szCs w:val="31"/>
          <w:lang w:val="en-US" w:eastAsia="zh-CN"/>
        </w:rPr>
        <w:t>14.44</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7"/>
          <w:sz w:val="31"/>
          <w:szCs w:val="31"/>
        </w:rPr>
        <w:t>主要是</w:t>
      </w:r>
      <w:r>
        <w:rPr>
          <w:rFonts w:hint="eastAsia" w:ascii="Times New Roman" w:hAnsi="Times New Roman" w:eastAsia="仿宋_GB2312" w:cs="Times New Roman"/>
          <w:spacing w:val="7"/>
          <w:sz w:val="31"/>
          <w:szCs w:val="31"/>
          <w:lang w:val="en-US" w:eastAsia="zh-CN"/>
        </w:rPr>
        <w:t>人员变动</w:t>
      </w:r>
      <w:r>
        <w:rPr>
          <w:rFonts w:hint="default" w:ascii="Times New Roman" w:hAnsi="Times New Roman" w:eastAsia="仿宋_GB2312" w:cs="Times New Roman"/>
          <w:spacing w:val="7"/>
          <w:sz w:val="31"/>
          <w:szCs w:val="31"/>
        </w:rPr>
        <w:t>。</w:t>
      </w:r>
    </w:p>
    <w:p w14:paraId="245CF16E">
      <w:pPr>
        <w:keepNext w:val="0"/>
        <w:keepLines w:val="0"/>
        <w:pageBreakBefore w:val="0"/>
        <w:widowControl/>
        <w:kinsoku w:val="0"/>
        <w:wordWrap/>
        <w:overflowPunct/>
        <w:topLinePunct w:val="0"/>
        <w:autoSpaceDE w:val="0"/>
        <w:autoSpaceDN w:val="0"/>
        <w:bidi w:val="0"/>
        <w:adjustRightInd w:val="0"/>
        <w:snapToGrid w:val="0"/>
        <w:spacing w:line="368" w:lineRule="auto"/>
        <w:ind w:left="659"/>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（二）政府采购支出情况说明</w:t>
      </w:r>
    </w:p>
    <w:p w14:paraId="7818313F">
      <w:pPr>
        <w:keepNext w:val="0"/>
        <w:keepLines w:val="0"/>
        <w:pageBreakBefore w:val="0"/>
        <w:widowControl/>
        <w:kinsoku w:val="0"/>
        <w:wordWrap/>
        <w:overflowPunct/>
        <w:topLinePunct w:val="0"/>
        <w:autoSpaceDE w:val="0"/>
        <w:autoSpaceDN w:val="0"/>
        <w:bidi w:val="0"/>
        <w:adjustRightInd w:val="0"/>
        <w:snapToGrid w:val="0"/>
        <w:spacing w:line="368" w:lineRule="auto"/>
        <w:ind w:left="29" w:right="24" w:firstLine="641"/>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2023 年度政府采购支出总额</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万元，</w:t>
      </w:r>
      <w:r>
        <w:rPr>
          <w:rFonts w:hint="default" w:ascii="Times New Roman" w:hAnsi="Times New Roman" w:eastAsia="仿宋_GB2312" w:cs="Times New Roman"/>
          <w:spacing w:val="7"/>
          <w:sz w:val="31"/>
          <w:szCs w:val="31"/>
        </w:rPr>
        <w:t>其中：政府采购货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物支出</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万元、政府采购工程支出</w:t>
      </w:r>
      <w:r>
        <w:rPr>
          <w:rFonts w:hint="eastAsia" w:ascii="Times New Roman" w:hAnsi="Times New Roman" w:eastAsia="仿宋_GB2312" w:cs="Times New Roman"/>
          <w:spacing w:val="23"/>
          <w:sz w:val="31"/>
          <w:szCs w:val="31"/>
          <w:lang w:val="en-US" w:eastAsia="zh-CN"/>
        </w:rPr>
        <w:t>0</w:t>
      </w:r>
      <w:r>
        <w:rPr>
          <w:rFonts w:hint="default" w:ascii="Times New Roman" w:hAnsi="Times New Roman" w:eastAsia="仿宋_GB2312" w:cs="Times New Roman"/>
          <w:spacing w:val="7"/>
          <w:sz w:val="31"/>
          <w:szCs w:val="31"/>
        </w:rPr>
        <w:t>万元、政府采购服务支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出</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万元。授予中小企业合同金额</w:t>
      </w:r>
      <w:r>
        <w:rPr>
          <w:rFonts w:hint="eastAsia" w:ascii="Times New Roman" w:hAnsi="Times New Roman" w:eastAsia="仿宋_GB2312" w:cs="Times New Roman"/>
          <w:spacing w:val="27"/>
          <w:sz w:val="31"/>
          <w:szCs w:val="31"/>
          <w:lang w:val="en-US" w:eastAsia="zh-CN"/>
        </w:rPr>
        <w:t>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5"/>
          <w:sz w:val="31"/>
          <w:szCs w:val="31"/>
        </w:rPr>
        <w:t xml:space="preserve">，其中：授予小微企业合同金额 </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万元</w:t>
      </w:r>
      <w:r>
        <w:rPr>
          <w:rFonts w:hint="default" w:ascii="Times New Roman" w:hAnsi="Times New Roman" w:eastAsia="仿宋_GB2312" w:cs="Times New Roman"/>
          <w:spacing w:val="2"/>
          <w:sz w:val="31"/>
          <w:szCs w:val="31"/>
        </w:rPr>
        <w:t>。</w:t>
      </w:r>
    </w:p>
    <w:p w14:paraId="438C35E9">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（三）国有资产占用情况说明</w:t>
      </w:r>
    </w:p>
    <w:p w14:paraId="55A639B5">
      <w:pPr>
        <w:spacing w:before="249" w:line="368" w:lineRule="auto"/>
        <w:ind w:left="29" w:right="24" w:firstLine="641"/>
        <w:rPr>
          <w:rFonts w:hint="eastAsia" w:ascii="Times New Roman" w:hAnsi="Times New Roman" w:eastAsia="仿宋_GB2312" w:cs="Times New Roman"/>
          <w:spacing w:val="8"/>
          <w:sz w:val="31"/>
          <w:szCs w:val="31"/>
        </w:rPr>
      </w:pPr>
      <w:r>
        <w:rPr>
          <w:rFonts w:hint="default" w:ascii="Times New Roman" w:hAnsi="Times New Roman" w:eastAsia="仿宋_GB2312" w:cs="Times New Roman"/>
          <w:spacing w:val="8"/>
          <w:sz w:val="31"/>
          <w:szCs w:val="31"/>
        </w:rPr>
        <w:t>截至 2023 年 12 月 31 日，</w:t>
      </w:r>
      <w:r>
        <w:rPr>
          <w:rFonts w:hint="eastAsia" w:ascii="Times New Roman" w:hAnsi="Times New Roman" w:eastAsia="仿宋_GB2312" w:cs="Times New Roman"/>
          <w:spacing w:val="8"/>
          <w:sz w:val="31"/>
          <w:szCs w:val="31"/>
          <w:lang w:val="en-US" w:eastAsia="zh-CN"/>
        </w:rPr>
        <w:t>中国共产党榆树市纪律检查委员会</w:t>
      </w:r>
      <w:r>
        <w:rPr>
          <w:rFonts w:hint="eastAsia" w:ascii="Times New Roman" w:hAnsi="Times New Roman" w:eastAsia="仿宋_GB2312" w:cs="Times New Roman"/>
          <w:spacing w:val="8"/>
          <w:sz w:val="31"/>
          <w:szCs w:val="31"/>
        </w:rPr>
        <w:t>共有车辆</w:t>
      </w:r>
      <w:r>
        <w:rPr>
          <w:rFonts w:hint="eastAsia" w:ascii="Times New Roman" w:hAnsi="Times New Roman" w:eastAsia="仿宋_GB2312" w:cs="Times New Roman"/>
          <w:spacing w:val="8"/>
          <w:sz w:val="31"/>
          <w:szCs w:val="31"/>
          <w:lang w:val="en-US" w:eastAsia="zh-CN"/>
        </w:rPr>
        <w:t>16</w:t>
      </w:r>
      <w:r>
        <w:rPr>
          <w:rFonts w:hint="eastAsia" w:ascii="Times New Roman" w:hAnsi="Times New Roman" w:eastAsia="仿宋_GB2312" w:cs="Times New Roman"/>
          <w:spacing w:val="8"/>
          <w:sz w:val="31"/>
          <w:szCs w:val="31"/>
        </w:rPr>
        <w:t>辆，其中，副部（省）级及以上领导用车</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辆、主要领导干部用车</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辆、机要通信用车</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辆、应急保障用车</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辆、执法执勤用车</w:t>
      </w:r>
      <w:r>
        <w:rPr>
          <w:rFonts w:hint="eastAsia" w:ascii="Times New Roman" w:hAnsi="Times New Roman" w:eastAsia="仿宋_GB2312" w:cs="Times New Roman"/>
          <w:spacing w:val="8"/>
          <w:sz w:val="31"/>
          <w:szCs w:val="31"/>
          <w:lang w:val="en-US" w:eastAsia="zh-CN"/>
        </w:rPr>
        <w:t>13</w:t>
      </w:r>
      <w:r>
        <w:rPr>
          <w:rFonts w:hint="eastAsia" w:ascii="Times New Roman" w:hAnsi="Times New Roman" w:eastAsia="仿宋_GB2312" w:cs="Times New Roman"/>
          <w:spacing w:val="8"/>
          <w:sz w:val="31"/>
          <w:szCs w:val="31"/>
        </w:rPr>
        <w:t>辆、特种专业技术用车</w:t>
      </w:r>
      <w:r>
        <w:rPr>
          <w:rFonts w:hint="eastAsia" w:ascii="Times New Roman" w:hAnsi="Times New Roman" w:eastAsia="仿宋_GB2312" w:cs="Times New Roman"/>
          <w:spacing w:val="8"/>
          <w:sz w:val="31"/>
          <w:szCs w:val="31"/>
          <w:lang w:val="en-US" w:eastAsia="zh-CN"/>
        </w:rPr>
        <w:t>3</w:t>
      </w:r>
      <w:r>
        <w:rPr>
          <w:rFonts w:hint="eastAsia" w:ascii="Times New Roman" w:hAnsi="Times New Roman" w:eastAsia="仿宋_GB2312" w:cs="Times New Roman"/>
          <w:spacing w:val="8"/>
          <w:sz w:val="31"/>
          <w:szCs w:val="31"/>
        </w:rPr>
        <w:t>辆、离退休干部用车</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辆、其他用车</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辆；单位价值</w:t>
      </w:r>
      <w:r>
        <w:rPr>
          <w:rFonts w:hint="default" w:ascii="Times New Roman" w:hAnsi="Times New Roman" w:eastAsia="仿宋_GB2312" w:cs="Times New Roman"/>
          <w:spacing w:val="8"/>
          <w:sz w:val="31"/>
          <w:szCs w:val="31"/>
        </w:rPr>
        <w:t>50</w:t>
      </w:r>
      <w:r>
        <w:rPr>
          <w:rFonts w:hint="eastAsia" w:ascii="Times New Roman" w:hAnsi="Times New Roman" w:eastAsia="仿宋_GB2312" w:cs="Times New Roman"/>
          <w:spacing w:val="8"/>
          <w:sz w:val="31"/>
          <w:szCs w:val="31"/>
        </w:rPr>
        <w:t>万元以上通用设备</w:t>
      </w:r>
      <w:r>
        <w:rPr>
          <w:rFonts w:hint="eastAsia" w:ascii="Times New Roman" w:hAnsi="Times New Roman" w:eastAsia="仿宋_GB2312" w:cs="Times New Roman"/>
          <w:spacing w:val="8"/>
          <w:sz w:val="31"/>
          <w:szCs w:val="31"/>
          <w:lang w:val="en-US" w:eastAsia="zh-CN"/>
        </w:rPr>
        <w:t>1</w:t>
      </w:r>
      <w:r>
        <w:rPr>
          <w:rFonts w:hint="eastAsia" w:ascii="Times New Roman" w:hAnsi="Times New Roman" w:eastAsia="仿宋_GB2312" w:cs="Times New Roman"/>
          <w:spacing w:val="8"/>
          <w:sz w:val="31"/>
          <w:szCs w:val="31"/>
        </w:rPr>
        <w:t>台（套）；单位价值</w:t>
      </w:r>
      <w:r>
        <w:rPr>
          <w:rFonts w:hint="default" w:ascii="Times New Roman" w:hAnsi="Times New Roman" w:eastAsia="仿宋_GB2312" w:cs="Times New Roman"/>
          <w:spacing w:val="8"/>
          <w:sz w:val="31"/>
          <w:szCs w:val="31"/>
        </w:rPr>
        <w:t>100</w:t>
      </w:r>
      <w:r>
        <w:rPr>
          <w:rFonts w:hint="eastAsia" w:ascii="Times New Roman" w:hAnsi="Times New Roman" w:eastAsia="仿宋_GB2312" w:cs="Times New Roman"/>
          <w:spacing w:val="8"/>
          <w:sz w:val="31"/>
          <w:szCs w:val="31"/>
        </w:rPr>
        <w:t>万元以上专用设备</w:t>
      </w:r>
      <w:r>
        <w:rPr>
          <w:rFonts w:hint="eastAsia" w:ascii="Times New Roman" w:hAnsi="Times New Roman" w:eastAsia="仿宋_GB2312" w:cs="Times New Roman"/>
          <w:spacing w:val="8"/>
          <w:sz w:val="31"/>
          <w:szCs w:val="31"/>
          <w:lang w:val="en-US" w:eastAsia="zh-CN"/>
        </w:rPr>
        <w:t>0</w:t>
      </w:r>
      <w:r>
        <w:rPr>
          <w:rFonts w:hint="eastAsia" w:ascii="Times New Roman" w:hAnsi="Times New Roman" w:eastAsia="仿宋_GB2312" w:cs="Times New Roman"/>
          <w:spacing w:val="8"/>
          <w:sz w:val="31"/>
          <w:szCs w:val="31"/>
        </w:rPr>
        <w:t>台（套）。</w:t>
      </w:r>
    </w:p>
    <w:p w14:paraId="47EDF4BD">
      <w:pPr>
        <w:spacing w:before="225" w:line="443" w:lineRule="exact"/>
        <w:outlineLvl w:val="0"/>
        <w:rPr>
          <w:rFonts w:hint="default" w:ascii="Times New Roman" w:hAnsi="Times New Roman" w:eastAsia="仿宋_GB2312" w:cs="Times New Roman"/>
          <w:spacing w:val="-4"/>
          <w:position w:val="-2"/>
          <w:sz w:val="44"/>
          <w:szCs w:val="44"/>
        </w:rPr>
      </w:pPr>
    </w:p>
    <w:p w14:paraId="4FFDE251">
      <w:pPr>
        <w:spacing w:before="225" w:line="443" w:lineRule="exact"/>
        <w:ind w:left="2186"/>
        <w:outlineLvl w:val="0"/>
        <w:rPr>
          <w:rFonts w:hint="default" w:ascii="Times New Roman" w:hAnsi="Times New Roman" w:eastAsia="仿宋_GB2312" w:cs="Times New Roman"/>
          <w:sz w:val="44"/>
          <w:szCs w:val="44"/>
        </w:rPr>
      </w:pPr>
      <w:r>
        <w:rPr>
          <w:rFonts w:hint="default" w:ascii="Times New Roman" w:hAnsi="Times New Roman" w:eastAsia="仿宋_GB2312" w:cs="Times New Roman"/>
          <w:spacing w:val="-4"/>
          <w:position w:val="-2"/>
          <w:sz w:val="44"/>
          <w:szCs w:val="44"/>
        </w:rPr>
        <w:t>第四部分</w:t>
      </w:r>
      <w:r>
        <w:rPr>
          <w:rFonts w:hint="default" w:ascii="Times New Roman" w:hAnsi="Times New Roman" w:eastAsia="仿宋_GB2312" w:cs="Times New Roman"/>
          <w:spacing w:val="24"/>
          <w:position w:val="-2"/>
          <w:sz w:val="44"/>
          <w:szCs w:val="44"/>
        </w:rPr>
        <w:t xml:space="preserve">   </w:t>
      </w:r>
      <w:r>
        <w:rPr>
          <w:rFonts w:hint="default" w:ascii="Times New Roman" w:hAnsi="Times New Roman" w:eastAsia="仿宋_GB2312" w:cs="Times New Roman"/>
          <w:spacing w:val="-4"/>
          <w:position w:val="-2"/>
          <w:sz w:val="44"/>
          <w:szCs w:val="44"/>
        </w:rPr>
        <w:t>名词解释</w:t>
      </w:r>
    </w:p>
    <w:p w14:paraId="3EEDC022">
      <w:pPr>
        <w:pStyle w:val="2"/>
        <w:spacing w:line="315" w:lineRule="auto"/>
        <w:rPr>
          <w:rFonts w:hint="default" w:ascii="Times New Roman" w:hAnsi="Times New Roman" w:eastAsia="仿宋_GB2312" w:cs="Times New Roman"/>
        </w:rPr>
      </w:pPr>
    </w:p>
    <w:p w14:paraId="484EA091">
      <w:pPr>
        <w:pStyle w:val="2"/>
        <w:spacing w:line="315" w:lineRule="auto"/>
        <w:rPr>
          <w:rFonts w:hint="default" w:ascii="Times New Roman" w:hAnsi="Times New Roman" w:eastAsia="仿宋_GB2312" w:cs="Times New Roman"/>
        </w:rPr>
      </w:pPr>
    </w:p>
    <w:p w14:paraId="5BDA73EE">
      <w:pPr>
        <w:pStyle w:val="2"/>
        <w:spacing w:line="315" w:lineRule="auto"/>
        <w:rPr>
          <w:rFonts w:hint="default" w:ascii="Times New Roman" w:hAnsi="Times New Roman" w:eastAsia="仿宋_GB2312" w:cs="Times New Roman"/>
        </w:rPr>
      </w:pPr>
    </w:p>
    <w:p w14:paraId="521CA222">
      <w:pPr>
        <w:spacing w:before="100" w:line="297" w:lineRule="auto"/>
        <w:ind w:left="39" w:right="13"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一、财政拨款收入：</w:t>
      </w:r>
      <w:r>
        <w:rPr>
          <w:rFonts w:hint="default" w:ascii="Times New Roman" w:hAnsi="Times New Roman" w:eastAsia="仿宋_GB2312" w:cs="Times New Roman"/>
          <w:spacing w:val="6"/>
          <w:sz w:val="31"/>
          <w:szCs w:val="31"/>
        </w:rPr>
        <w:t>指单位从同级财政部门取得的财政</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2"/>
          <w:sz w:val="31"/>
          <w:szCs w:val="31"/>
        </w:rPr>
        <w:t>预算资金。</w:t>
      </w:r>
    </w:p>
    <w:p w14:paraId="7B035242">
      <w:pPr>
        <w:spacing w:before="250" w:line="297" w:lineRule="auto"/>
        <w:ind w:left="30" w:right="1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二、上级补助收入：</w:t>
      </w:r>
      <w:r>
        <w:rPr>
          <w:rFonts w:hint="default" w:ascii="Times New Roman" w:hAnsi="Times New Roman" w:eastAsia="仿宋_GB2312" w:cs="Times New Roman"/>
          <w:spacing w:val="6"/>
          <w:sz w:val="31"/>
          <w:szCs w:val="31"/>
        </w:rPr>
        <w:t>指从主管部门和上级单位取得的非</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1"/>
          <w:sz w:val="31"/>
          <w:szCs w:val="31"/>
        </w:rPr>
        <w:t>财政补助收入。</w:t>
      </w:r>
    </w:p>
    <w:p w14:paraId="4CE45025">
      <w:pPr>
        <w:spacing w:before="249" w:line="298" w:lineRule="auto"/>
        <w:ind w:left="44" w:right="18" w:firstLine="649"/>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三、事业收入：指事业单位开展专业业务活动及辅助活</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b/>
          <w:bCs/>
          <w:spacing w:val="-6"/>
          <w:sz w:val="31"/>
          <w:szCs w:val="31"/>
        </w:rPr>
        <w:t>动取得的收入。</w:t>
      </w:r>
    </w:p>
    <w:p w14:paraId="058729E7">
      <w:pPr>
        <w:spacing w:before="249" w:line="297" w:lineRule="auto"/>
        <w:ind w:left="44" w:right="16" w:firstLine="66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四、经营收入：</w:t>
      </w:r>
      <w:r>
        <w:rPr>
          <w:rFonts w:hint="default" w:ascii="Times New Roman" w:hAnsi="Times New Roman" w:eastAsia="仿宋_GB2312" w:cs="Times New Roman"/>
          <w:spacing w:val="6"/>
          <w:sz w:val="31"/>
          <w:szCs w:val="31"/>
        </w:rPr>
        <w:t>指事业单位在专业业务活动及其辅助活</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pacing w:val="6"/>
          <w:sz w:val="31"/>
          <w:szCs w:val="31"/>
        </w:rPr>
        <w:t>动之外开展非独立核算经营活动取得的收入。</w:t>
      </w:r>
    </w:p>
    <w:p w14:paraId="02FE7032">
      <w:pPr>
        <w:spacing w:before="249" w:line="298" w:lineRule="auto"/>
        <w:ind w:left="28" w:right="1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五、附属单位上缴收入：</w:t>
      </w:r>
      <w:r>
        <w:rPr>
          <w:rFonts w:hint="default" w:ascii="Times New Roman" w:hAnsi="Times New Roman" w:eastAsia="仿宋_GB2312" w:cs="Times New Roman"/>
          <w:spacing w:val="6"/>
          <w:sz w:val="31"/>
          <w:szCs w:val="31"/>
        </w:rPr>
        <w:t>指事业单位附属独立核算单位</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7"/>
          <w:sz w:val="31"/>
          <w:szCs w:val="31"/>
        </w:rPr>
        <w:t>按照有关规定上缴的收入。</w:t>
      </w:r>
    </w:p>
    <w:p w14:paraId="33D7EFEA">
      <w:pPr>
        <w:spacing w:before="246" w:line="347" w:lineRule="auto"/>
        <w:ind w:left="29" w:right="14"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六、其他收入：</w:t>
      </w:r>
      <w:r>
        <w:rPr>
          <w:rFonts w:hint="default" w:ascii="Times New Roman" w:hAnsi="Times New Roman" w:eastAsia="仿宋_GB2312" w:cs="Times New Roman"/>
          <w:spacing w:val="7"/>
          <w:sz w:val="31"/>
          <w:szCs w:val="31"/>
        </w:rPr>
        <w:t>指除上述收入以外的各项收入。包括未</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9"/>
          <w:sz w:val="31"/>
          <w:szCs w:val="31"/>
        </w:rPr>
        <w:t>纳入财政预算或财政专户管理的投资收益、银</w:t>
      </w:r>
      <w:r>
        <w:rPr>
          <w:rFonts w:hint="default" w:ascii="Times New Roman" w:hAnsi="Times New Roman" w:eastAsia="仿宋_GB2312" w:cs="Times New Roman"/>
          <w:spacing w:val="8"/>
          <w:sz w:val="31"/>
          <w:szCs w:val="31"/>
        </w:rPr>
        <w:t>行存款利息收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入、租金收入、捐赠收入，现金盘盈收入、存货</w:t>
      </w:r>
      <w:r>
        <w:rPr>
          <w:rFonts w:hint="default" w:ascii="Times New Roman" w:hAnsi="Times New Roman" w:eastAsia="仿宋_GB2312" w:cs="Times New Roman"/>
          <w:spacing w:val="8"/>
          <w:sz w:val="31"/>
          <w:szCs w:val="31"/>
        </w:rPr>
        <w:t>盘盈收入、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收回已核销应收及预付款项、无法偿付的应付及</w:t>
      </w:r>
      <w:r>
        <w:rPr>
          <w:rFonts w:hint="default" w:ascii="Times New Roman" w:hAnsi="Times New Roman" w:eastAsia="仿宋_GB2312" w:cs="Times New Roman"/>
          <w:spacing w:val="8"/>
          <w:sz w:val="31"/>
          <w:szCs w:val="31"/>
        </w:rPr>
        <w:t>预收款项，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从省财政以外的同级单位取得的经费、从非省</w:t>
      </w:r>
      <w:r>
        <w:rPr>
          <w:rFonts w:hint="default" w:ascii="Times New Roman" w:hAnsi="Times New Roman" w:eastAsia="仿宋_GB2312" w:cs="Times New Roman"/>
          <w:spacing w:val="8"/>
          <w:sz w:val="31"/>
          <w:szCs w:val="31"/>
        </w:rPr>
        <w:t>财政取得的经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费，以及行政单位收到的财政专户管理资金等。</w:t>
      </w:r>
    </w:p>
    <w:p w14:paraId="7F4E380A">
      <w:pPr>
        <w:spacing w:before="252" w:line="322" w:lineRule="auto"/>
        <w:ind w:left="28" w:right="10" w:firstLine="64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5"/>
          <w:sz w:val="31"/>
          <w:szCs w:val="31"/>
        </w:rPr>
        <w:t>七、使用非财政拨款结余（含专用结余</w:t>
      </w:r>
      <w:r>
        <w:rPr>
          <w:rFonts w:hint="default" w:ascii="Times New Roman" w:hAnsi="Times New Roman" w:eastAsia="仿宋_GB2312" w:cs="Times New Roman"/>
          <w:b/>
          <w:bCs/>
          <w:spacing w:val="16"/>
          <w:sz w:val="31"/>
          <w:szCs w:val="31"/>
        </w:rPr>
        <w:t>）：</w:t>
      </w:r>
      <w:r>
        <w:rPr>
          <w:rFonts w:hint="default" w:ascii="Times New Roman" w:hAnsi="Times New Roman" w:eastAsia="仿宋_GB2312" w:cs="Times New Roman"/>
          <w:spacing w:val="5"/>
          <w:sz w:val="31"/>
          <w:szCs w:val="31"/>
        </w:rPr>
        <w:t>指事业单位</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21"/>
          <w:sz w:val="31"/>
          <w:szCs w:val="31"/>
        </w:rPr>
        <w:t>按照预算管理要求使用非财政拨款结余弥补收支差额的金</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5"/>
          <w:sz w:val="31"/>
          <w:szCs w:val="31"/>
        </w:rPr>
        <w:t>额，以及使用专用结余安排支出的金额。</w:t>
      </w:r>
    </w:p>
    <w:p w14:paraId="59C17780">
      <w:pPr>
        <w:spacing w:line="240" w:lineRule="auto"/>
        <w:ind w:right="0"/>
        <w:jc w:val="right"/>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八、年初结转和结余：</w:t>
      </w:r>
      <w:r>
        <w:rPr>
          <w:rFonts w:hint="default" w:ascii="Times New Roman" w:hAnsi="Times New Roman" w:eastAsia="仿宋_GB2312" w:cs="Times New Roman"/>
          <w:spacing w:val="7"/>
          <w:sz w:val="31"/>
          <w:szCs w:val="31"/>
        </w:rPr>
        <w:t>指单位以前年度尚未完成、结转</w:t>
      </w:r>
    </w:p>
    <w:p w14:paraId="694B3C16">
      <w:pPr>
        <w:spacing w:line="220" w:lineRule="auto"/>
        <w:rPr>
          <w:rFonts w:hint="default" w:ascii="Times New Roman" w:hAnsi="Times New Roman" w:eastAsia="仿宋_GB2312" w:cs="Times New Roman"/>
          <w:sz w:val="31"/>
          <w:szCs w:val="31"/>
        </w:rPr>
        <w:sectPr>
          <w:footerReference r:id="rId15" w:type="default"/>
          <w:pgSz w:w="11907" w:h="16839"/>
          <w:pgMar w:top="1429" w:right="1644" w:bottom="1151" w:left="1785" w:header="0" w:footer="0" w:gutter="0"/>
          <w:cols w:space="0" w:num="1"/>
          <w:rtlGutter w:val="0"/>
          <w:docGrid w:linePitch="0" w:charSpace="0"/>
        </w:sectPr>
      </w:pPr>
    </w:p>
    <w:p w14:paraId="1CEB1A7D">
      <w:pPr>
        <w:spacing w:before="160" w:line="357" w:lineRule="auto"/>
        <w:ind w:left="46" w:right="189" w:hanging="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到本年按有关规定用途继续使用的资金，或项目已完成等产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生的结余资金。</w:t>
      </w:r>
    </w:p>
    <w:p w14:paraId="63A00B1A">
      <w:pPr>
        <w:spacing w:before="48" w:line="355" w:lineRule="auto"/>
        <w:ind w:left="32" w:right="155"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九、结余分配：</w:t>
      </w:r>
      <w:r>
        <w:rPr>
          <w:rFonts w:hint="default" w:ascii="Times New Roman" w:hAnsi="Times New Roman" w:eastAsia="仿宋_GB2312" w:cs="Times New Roman"/>
          <w:spacing w:val="7"/>
          <w:sz w:val="31"/>
          <w:szCs w:val="31"/>
        </w:rPr>
        <w:t>指事业单位按照会计制度规定缴纳的所</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6"/>
          <w:sz w:val="31"/>
          <w:szCs w:val="31"/>
        </w:rPr>
        <w:t>得税、提取的专用结余以及转入非财政拨款结余的金额等。</w:t>
      </w:r>
    </w:p>
    <w:p w14:paraId="63296FC2">
      <w:pPr>
        <w:spacing w:before="54" w:line="364" w:lineRule="auto"/>
        <w:ind w:left="29" w:right="153"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十、年末结转和结余：</w:t>
      </w:r>
      <w:r>
        <w:rPr>
          <w:rFonts w:hint="default" w:ascii="Times New Roman" w:hAnsi="Times New Roman" w:eastAsia="仿宋_GB2312" w:cs="Times New Roman"/>
          <w:spacing w:val="7"/>
          <w:sz w:val="31"/>
          <w:szCs w:val="31"/>
        </w:rPr>
        <w:t>指单位按有关规定结</w:t>
      </w:r>
      <w:r>
        <w:rPr>
          <w:rFonts w:hint="default" w:ascii="Times New Roman" w:hAnsi="Times New Roman" w:eastAsia="仿宋_GB2312" w:cs="Times New Roman"/>
          <w:spacing w:val="6"/>
          <w:sz w:val="31"/>
          <w:szCs w:val="31"/>
        </w:rPr>
        <w:t>转到下年或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1"/>
          <w:sz w:val="31"/>
          <w:szCs w:val="31"/>
        </w:rPr>
        <w:t>以后年度继续使用的资金，或项目已完成等产生的结余资</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16"/>
          <w:sz w:val="31"/>
          <w:szCs w:val="31"/>
        </w:rPr>
        <w:t>金。</w:t>
      </w:r>
    </w:p>
    <w:p w14:paraId="36BED612">
      <w:pPr>
        <w:spacing w:before="39" w:line="297" w:lineRule="auto"/>
        <w:ind w:left="30" w:right="15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十一、基本支出：</w:t>
      </w:r>
      <w:r>
        <w:rPr>
          <w:rFonts w:hint="default" w:ascii="Times New Roman" w:hAnsi="Times New Roman" w:eastAsia="仿宋_GB2312" w:cs="Times New Roman"/>
          <w:spacing w:val="7"/>
          <w:sz w:val="31"/>
          <w:szCs w:val="31"/>
        </w:rPr>
        <w:t>指为保障机构正常运转、完成日常工</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6"/>
          <w:sz w:val="31"/>
          <w:szCs w:val="31"/>
        </w:rPr>
        <w:t>作任务而发生的人员支出和公用支出。</w:t>
      </w:r>
    </w:p>
    <w:p w14:paraId="33C70D2E">
      <w:pPr>
        <w:spacing w:before="250" w:line="298" w:lineRule="auto"/>
        <w:ind w:left="33" w:right="154"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十二、项目支出：</w:t>
      </w:r>
      <w:r>
        <w:rPr>
          <w:rFonts w:hint="default" w:ascii="Times New Roman" w:hAnsi="Times New Roman" w:eastAsia="仿宋_GB2312" w:cs="Times New Roman"/>
          <w:spacing w:val="7"/>
          <w:sz w:val="31"/>
          <w:szCs w:val="31"/>
        </w:rPr>
        <w:t>指在基本支出之外为完成特定行政任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务或事业发展目标所发生的支出。</w:t>
      </w:r>
    </w:p>
    <w:p w14:paraId="26BAD44C">
      <w:pPr>
        <w:spacing w:before="249" w:line="297" w:lineRule="auto"/>
        <w:ind w:left="44" w:right="155" w:firstLine="63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十三、经营支出：</w:t>
      </w:r>
      <w:r>
        <w:rPr>
          <w:rFonts w:hint="default" w:ascii="Times New Roman" w:hAnsi="Times New Roman" w:eastAsia="仿宋_GB2312" w:cs="Times New Roman"/>
          <w:spacing w:val="7"/>
          <w:sz w:val="31"/>
          <w:szCs w:val="31"/>
        </w:rPr>
        <w:t>指事业单位在专业业务活动及其辅助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活动之外开展非独立核算经营活动发生的支出。</w:t>
      </w:r>
    </w:p>
    <w:p w14:paraId="6E051045">
      <w:pPr>
        <w:spacing w:before="249" w:line="297" w:lineRule="auto"/>
        <w:ind w:left="40" w:right="153" w:firstLine="64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十四、上缴上级支出：</w:t>
      </w:r>
      <w:r>
        <w:rPr>
          <w:rFonts w:hint="default" w:ascii="Times New Roman" w:hAnsi="Times New Roman" w:eastAsia="仿宋_GB2312" w:cs="Times New Roman"/>
          <w:spacing w:val="7"/>
          <w:sz w:val="31"/>
          <w:szCs w:val="31"/>
        </w:rPr>
        <w:t>指事业单位按照有关</w:t>
      </w:r>
      <w:r>
        <w:rPr>
          <w:rFonts w:hint="default" w:ascii="Times New Roman" w:hAnsi="Times New Roman" w:eastAsia="仿宋_GB2312" w:cs="Times New Roman"/>
          <w:spacing w:val="6"/>
          <w:sz w:val="31"/>
          <w:szCs w:val="31"/>
        </w:rPr>
        <w:t>规定上缴上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级单位的支出。</w:t>
      </w:r>
    </w:p>
    <w:p w14:paraId="40CA543F">
      <w:pPr>
        <w:spacing w:before="251" w:line="297" w:lineRule="auto"/>
        <w:ind w:left="29" w:right="152"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十五、对附属单位补助支出：</w:t>
      </w:r>
      <w:r>
        <w:rPr>
          <w:rFonts w:hint="default" w:ascii="Times New Roman" w:hAnsi="Times New Roman" w:eastAsia="仿宋_GB2312" w:cs="Times New Roman"/>
          <w:spacing w:val="6"/>
          <w:sz w:val="31"/>
          <w:szCs w:val="31"/>
        </w:rPr>
        <w:t>指事业单位用财政补助收</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8"/>
          <w:sz w:val="31"/>
          <w:szCs w:val="31"/>
        </w:rPr>
        <w:t>入之外的收入对附属单位补助发生的支出。</w:t>
      </w:r>
    </w:p>
    <w:p w14:paraId="004DE56F">
      <w:pPr>
        <w:spacing w:before="252" w:line="342" w:lineRule="auto"/>
        <w:ind w:left="25" w:firstLine="658"/>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十六、“三公”经费：</w:t>
      </w:r>
      <w:r>
        <w:rPr>
          <w:rFonts w:hint="default" w:ascii="Times New Roman" w:hAnsi="Times New Roman" w:eastAsia="仿宋_GB2312" w:cs="Times New Roman"/>
          <w:spacing w:val="7"/>
          <w:sz w:val="31"/>
          <w:szCs w:val="31"/>
        </w:rPr>
        <w:t>纳入省级财政预决算</w:t>
      </w:r>
      <w:r>
        <w:rPr>
          <w:rFonts w:hint="default" w:ascii="Times New Roman" w:hAnsi="Times New Roman" w:eastAsia="仿宋_GB2312" w:cs="Times New Roman"/>
          <w:spacing w:val="6"/>
          <w:sz w:val="31"/>
          <w:szCs w:val="31"/>
        </w:rPr>
        <w:t>管理的“三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公”经费，是指省级部门用财政拨款安排的因公出国（境）</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费、公务用车购置及运行维护费和公务接待费。是党</w:t>
      </w:r>
      <w:r>
        <w:rPr>
          <w:rFonts w:hint="default" w:ascii="Times New Roman" w:hAnsi="Times New Roman" w:eastAsia="仿宋_GB2312" w:cs="Times New Roman"/>
          <w:spacing w:val="8"/>
          <w:sz w:val="31"/>
          <w:szCs w:val="31"/>
        </w:rPr>
        <w:t>政机关</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维持运转或完成特定工作任务所开支的相关支出，</w:t>
      </w:r>
      <w:r>
        <w:rPr>
          <w:rFonts w:hint="default" w:ascii="Times New Roman" w:hAnsi="Times New Roman" w:eastAsia="仿宋_GB2312" w:cs="Times New Roman"/>
          <w:spacing w:val="8"/>
          <w:sz w:val="31"/>
          <w:szCs w:val="31"/>
        </w:rPr>
        <w:t>是政府行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2"/>
          <w:sz w:val="31"/>
          <w:szCs w:val="31"/>
        </w:rPr>
        <w:t>政开支的一部分。其中，</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12"/>
          <w:sz w:val="31"/>
          <w:szCs w:val="31"/>
        </w:rPr>
        <w:t>因公出国（境）费反映公</w:t>
      </w:r>
      <w:r>
        <w:rPr>
          <w:rFonts w:hint="default" w:ascii="Times New Roman" w:hAnsi="Times New Roman" w:eastAsia="仿宋_GB2312" w:cs="Times New Roman"/>
          <w:spacing w:val="-13"/>
          <w:sz w:val="31"/>
          <w:szCs w:val="31"/>
        </w:rPr>
        <w:t>务出国（境）</w:t>
      </w:r>
    </w:p>
    <w:p w14:paraId="56A97F73">
      <w:pPr>
        <w:spacing w:line="342" w:lineRule="auto"/>
        <w:rPr>
          <w:rFonts w:hint="default" w:ascii="Times New Roman" w:hAnsi="Times New Roman" w:eastAsia="仿宋_GB2312" w:cs="Times New Roman"/>
          <w:sz w:val="31"/>
          <w:szCs w:val="31"/>
        </w:rPr>
        <w:sectPr>
          <w:footerReference r:id="rId16" w:type="default"/>
          <w:pgSz w:w="11907" w:h="16839"/>
          <w:pgMar w:top="1429" w:right="1644" w:bottom="1151" w:left="1785" w:header="0" w:footer="0" w:gutter="0"/>
          <w:cols w:space="0" w:num="1"/>
          <w:rtlGutter w:val="0"/>
          <w:docGrid w:linePitch="0" w:charSpace="0"/>
        </w:sectPr>
      </w:pPr>
    </w:p>
    <w:p w14:paraId="60AF6DE8">
      <w:pPr>
        <w:spacing w:before="155" w:line="366" w:lineRule="auto"/>
        <w:ind w:left="25" w:firstLine="2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的国际旅费、国外城市间交通费、住宿费、伙食费、培训费、</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9"/>
          <w:sz w:val="31"/>
          <w:szCs w:val="31"/>
        </w:rPr>
        <w:t>公杂费等支出；公务用车购置及运行费反映单位公务用</w:t>
      </w:r>
      <w:r>
        <w:rPr>
          <w:rFonts w:hint="default" w:ascii="Times New Roman" w:hAnsi="Times New Roman" w:eastAsia="仿宋_GB2312" w:cs="Times New Roman"/>
          <w:spacing w:val="8"/>
          <w:sz w:val="31"/>
          <w:szCs w:val="31"/>
        </w:rPr>
        <w:t>车车</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辆购置支出（含车辆购置税）及燃料费、维修费、过桥</w:t>
      </w:r>
      <w:r>
        <w:rPr>
          <w:rFonts w:hint="default" w:ascii="Times New Roman" w:hAnsi="Times New Roman" w:eastAsia="仿宋_GB2312" w:cs="Times New Roman"/>
          <w:spacing w:val="8"/>
          <w:sz w:val="31"/>
          <w:szCs w:val="31"/>
        </w:rPr>
        <w:t>过路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费、保险费、安全奖励费等支出；公务接待费反映单位</w:t>
      </w:r>
      <w:r>
        <w:rPr>
          <w:rFonts w:hint="default" w:ascii="Times New Roman" w:hAnsi="Times New Roman" w:eastAsia="仿宋_GB2312" w:cs="Times New Roman"/>
          <w:spacing w:val="8"/>
          <w:sz w:val="31"/>
          <w:szCs w:val="31"/>
        </w:rPr>
        <w:t>按规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定开支的各类公务接待（含外宾接待）支出。</w:t>
      </w:r>
    </w:p>
    <w:p w14:paraId="2F733F58">
      <w:pPr>
        <w:spacing w:before="48" w:line="347" w:lineRule="auto"/>
        <w:ind w:left="26" w:right="9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十七、机关运行经费：</w:t>
      </w:r>
      <w:r>
        <w:rPr>
          <w:rFonts w:hint="default" w:ascii="Times New Roman" w:hAnsi="Times New Roman" w:eastAsia="仿宋_GB2312" w:cs="Times New Roman"/>
          <w:spacing w:val="7"/>
          <w:sz w:val="31"/>
          <w:szCs w:val="31"/>
        </w:rPr>
        <w:t>指为保障行政单位（包</w:t>
      </w:r>
      <w:r>
        <w:rPr>
          <w:rFonts w:hint="default" w:ascii="Times New Roman" w:hAnsi="Times New Roman" w:eastAsia="仿宋_GB2312" w:cs="Times New Roman"/>
          <w:spacing w:val="6"/>
          <w:sz w:val="31"/>
          <w:szCs w:val="31"/>
        </w:rPr>
        <w:t>括参照公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务员法管理的事业单位）运行用于购买货物和服务的</w:t>
      </w:r>
      <w:r>
        <w:rPr>
          <w:rFonts w:hint="default" w:ascii="Times New Roman" w:hAnsi="Times New Roman" w:eastAsia="仿宋_GB2312" w:cs="Times New Roman"/>
          <w:spacing w:val="8"/>
          <w:sz w:val="31"/>
          <w:szCs w:val="31"/>
        </w:rPr>
        <w:t>各项资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金，包括办公费、</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6"/>
          <w:sz w:val="31"/>
          <w:szCs w:val="31"/>
        </w:rPr>
        <w:t>印刷费、邮电费、差旅费、会议费、福利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费、日常维修费、专用材料及一般设备购置费、</w:t>
      </w:r>
      <w:r>
        <w:rPr>
          <w:rFonts w:hint="default" w:ascii="Times New Roman" w:hAnsi="Times New Roman" w:eastAsia="仿宋_GB2312" w:cs="Times New Roman"/>
          <w:spacing w:val="8"/>
          <w:sz w:val="31"/>
          <w:szCs w:val="31"/>
        </w:rPr>
        <w:t>办公用房水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电费、办公用房取暖费、办公用房物业管理费、</w:t>
      </w:r>
      <w:r>
        <w:rPr>
          <w:rFonts w:hint="default" w:ascii="Times New Roman" w:hAnsi="Times New Roman" w:eastAsia="仿宋_GB2312" w:cs="Times New Roman"/>
          <w:spacing w:val="8"/>
          <w:sz w:val="31"/>
          <w:szCs w:val="31"/>
        </w:rPr>
        <w:t>公务用车运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行维护费以及其他费用。</w:t>
      </w:r>
    </w:p>
    <w:p w14:paraId="40530DD7">
      <w:pPr>
        <w:spacing w:before="249" w:line="355" w:lineRule="auto"/>
        <w:ind w:left="26" w:right="98" w:firstLine="648"/>
        <w:rPr>
          <w:rFonts w:hint="default" w:ascii="Times New Roman" w:hAnsi="Times New Roman" w:eastAsia="仿宋_GB2312" w:cs="Times New Roman"/>
          <w:color w:val="FF0000"/>
          <w:spacing w:val="5"/>
          <w:sz w:val="31"/>
          <w:szCs w:val="31"/>
        </w:rPr>
      </w:pPr>
    </w:p>
    <w:sectPr>
      <w:footerReference r:id="rId17" w:type="default"/>
      <w:pgSz w:w="11907" w:h="16839"/>
      <w:pgMar w:top="1429" w:right="1644" w:bottom="1151" w:left="1785"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B5A0B">
    <w:pPr>
      <w:spacing w:line="177" w:lineRule="auto"/>
      <w:ind w:left="413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88712">
    <w:pPr>
      <w:spacing w:line="177"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C3A12">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09AF8">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65C5D">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CDDC4">
    <w:pPr>
      <w:spacing w:line="177" w:lineRule="auto"/>
      <w:ind w:left="4118"/>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40E6A">
    <w:pPr>
      <w:spacing w:line="176"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F97C6">
    <w:pPr>
      <w:spacing w:line="177" w:lineRule="auto"/>
      <w:ind w:left="4117"/>
      <w:rPr>
        <w:rFonts w:ascii="Times New Roman" w:hAnsi="Times New Roman" w:eastAsia="Times New Roman" w:cs="Times New Roman"/>
        <w:sz w:val="21"/>
        <w:szCs w:val="21"/>
      </w:rPr>
    </w:pPr>
    <w:r>
      <w:rPr>
        <w:rFonts w:ascii="Times New Roman" w:hAnsi="Times New Roman" w:eastAsia="Times New Roman" w:cs="Times New Roman"/>
        <w:sz w:val="21"/>
        <w:szCs w:val="21"/>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6DAD3">
    <w:pPr>
      <w:spacing w:line="176" w:lineRule="auto"/>
      <w:ind w:left="4127"/>
      <w:rPr>
        <w:rFonts w:ascii="Times New Roman" w:hAnsi="Times New Roman" w:eastAsia="Times New Roman" w:cs="Times New Roman"/>
        <w:sz w:val="21"/>
        <w:szCs w:val="21"/>
      </w:rPr>
    </w:pPr>
    <w:r>
      <w:rPr>
        <w:rFonts w:ascii="Times New Roman" w:hAnsi="Times New Roman" w:eastAsia="Times New Roman" w:cs="Times New Roman"/>
        <w:sz w:val="21"/>
        <w:szCs w:val="21"/>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DC84B">
    <w:pPr>
      <w:spacing w:line="176"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FC6F1">
    <w:pPr>
      <w:spacing w:line="176"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7062A">
    <w:pPr>
      <w:spacing w:line="177" w:lineRule="auto"/>
      <w:ind w:left="4090"/>
      <w:rPr>
        <w:rFonts w:ascii="Times New Roman" w:hAnsi="Times New Roman" w:eastAsia="Times New Roman" w:cs="Times New Roman"/>
        <w:sz w:val="21"/>
        <w:szCs w:val="21"/>
      </w:rPr>
    </w:pPr>
    <w:r>
      <w:rPr>
        <w:rFonts w:ascii="Times New Roman" w:hAnsi="Times New Roman" w:eastAsia="Times New Roman" w:cs="Times New Roman"/>
        <w:spacing w:val="-8"/>
        <w:sz w:val="21"/>
        <w:szCs w:val="21"/>
      </w:rPr>
      <w:t>11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79106">
    <w:pPr>
      <w:spacing w:line="177"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96346"/>
    <w:multiLevelType w:val="singleLevel"/>
    <w:tmpl w:val="37696346"/>
    <w:lvl w:ilvl="0" w:tentative="0">
      <w:start w:val="1"/>
      <w:numFmt w:val="decimal"/>
      <w:lvlText w:val="%1."/>
      <w:lvlJc w:val="left"/>
      <w:pPr>
        <w:tabs>
          <w:tab w:val="left" w:pos="312"/>
        </w:tabs>
      </w:pPr>
    </w:lvl>
  </w:abstractNum>
  <w:abstractNum w:abstractNumId="1">
    <w:nsid w:val="6C97BFEB"/>
    <w:multiLevelType w:val="singleLevel"/>
    <w:tmpl w:val="6C97BFE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g2Yzc4N2RjNGU2ZjgwMWUzMTE2N2JlM2QwYmM5YzMifQ=="/>
  </w:docVars>
  <w:rsids>
    <w:rsidRoot w:val="00000000"/>
    <w:rsid w:val="0D6366D9"/>
    <w:rsid w:val="0E717234"/>
    <w:rsid w:val="11967EB9"/>
    <w:rsid w:val="16E22E2F"/>
    <w:rsid w:val="2324183F"/>
    <w:rsid w:val="37EE2E5E"/>
    <w:rsid w:val="3D057045"/>
    <w:rsid w:val="3F711AFF"/>
    <w:rsid w:val="41A75102"/>
    <w:rsid w:val="51D31B33"/>
    <w:rsid w:val="557C0541"/>
    <w:rsid w:val="58B10119"/>
    <w:rsid w:val="59093CFD"/>
    <w:rsid w:val="6A7E1356"/>
    <w:rsid w:val="6FCF40E5"/>
    <w:rsid w:val="79E262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 Char"/>
    <w:basedOn w:val="1"/>
    <w:link w:val="6"/>
    <w:qFormat/>
    <w:uiPriority w:val="0"/>
    <w:pPr>
      <w:widowControl/>
      <w:spacing w:after="160" w:line="240" w:lineRule="exact"/>
      <w:jc w:val="left"/>
    </w:pPr>
    <w:rPr>
      <w:rFonts w:eastAsia="宋体"/>
      <w:sz w:val="21"/>
      <w:szCs w:val="20"/>
    </w:rPr>
  </w:style>
  <w:style w:type="character" w:styleId="8">
    <w:name w:val="page number"/>
    <w:basedOn w:val="6"/>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image" Target="media/image10.png"/><Relationship Id="rId27" Type="http://schemas.openxmlformats.org/officeDocument/2006/relationships/image" Target="media/image9.png"/><Relationship Id="rId26" Type="http://schemas.openxmlformats.org/officeDocument/2006/relationships/image" Target="media/image8.png"/><Relationship Id="rId25" Type="http://schemas.openxmlformats.org/officeDocument/2006/relationships/image" Target="media/image7.png"/><Relationship Id="rId24" Type="http://schemas.openxmlformats.org/officeDocument/2006/relationships/image" Target="media/image6.png"/><Relationship Id="rId23" Type="http://schemas.openxmlformats.org/officeDocument/2006/relationships/image" Target="media/image5.png"/><Relationship Id="rId22" Type="http://schemas.openxmlformats.org/officeDocument/2006/relationships/image" Target="media/image4.pn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5712</Words>
  <Characters>6097</Characters>
  <TotalTime>335</TotalTime>
  <ScaleCrop>false</ScaleCrop>
  <LinksUpToDate>false</LinksUpToDate>
  <CharactersWithSpaces>6358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WPS_1648707652</cp:lastModifiedBy>
  <cp:lastPrinted>2024-10-30T01:56:48Z</cp:lastPrinted>
  <dcterms:modified xsi:type="dcterms:W3CDTF">2024-10-30T01:58:53Z</dcterms:modified>
  <dc:title>2015年度部门决算公开模板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2052-12.1.0.18608</vt:lpwstr>
  </property>
  <property fmtid="{D5CDD505-2E9C-101B-9397-08002B2CF9AE}" pid="5" name="ICV">
    <vt:lpwstr>D0E05DEAFF4249B2BF952DDF28C778B7_12</vt:lpwstr>
  </property>
</Properties>
</file>