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4BE958B">
      <w:pPr>
        <w:widowControl w:val="0"/>
        <w:kinsoku/>
        <w:autoSpaceDE/>
        <w:autoSpaceDN/>
        <w:adjustRightInd/>
        <w:snapToGrid/>
        <w:spacing w:line="240" w:lineRule="auto"/>
        <w:ind w:firstLine="560" w:firstLineChars="200"/>
        <w:jc w:val="both"/>
        <w:textAlignment w:val="auto"/>
        <w:rPr>
          <w:rFonts w:hint="eastAsia" w:ascii="仿宋" w:hAnsi="仿宋" w:eastAsia="仿宋" w:cs="Times New Roman"/>
          <w:snapToGrid/>
          <w:kern w:val="2"/>
          <w:sz w:val="28"/>
          <w:szCs w:val="28"/>
          <w:lang w:eastAsia="zh-CN"/>
        </w:rPr>
      </w:pPr>
      <w:r>
        <w:rPr>
          <w:rFonts w:hint="eastAsia" w:ascii="仿宋" w:hAnsi="仿宋" w:eastAsia="仿宋" w:cs="Times New Roman"/>
          <w:snapToGrid/>
          <w:kern w:val="2"/>
          <w:sz w:val="28"/>
          <w:szCs w:val="28"/>
          <w:lang w:eastAsia="zh-CN"/>
        </w:rPr>
        <w:t xml:space="preserve">附件 </w:t>
      </w:r>
      <w:r>
        <w:rPr>
          <w:rFonts w:hint="default" w:ascii="Times New Roman" w:hAnsi="Times New Roman" w:eastAsia="仿宋" w:cs="Times New Roman"/>
          <w:snapToGrid/>
          <w:kern w:val="2"/>
          <w:sz w:val="28"/>
          <w:szCs w:val="28"/>
          <w:lang w:eastAsia="zh-CN"/>
        </w:rPr>
        <w:t>1</w:t>
      </w:r>
      <w:r>
        <w:rPr>
          <w:rFonts w:hint="eastAsia" w:ascii="仿宋" w:hAnsi="仿宋" w:eastAsia="仿宋" w:cs="Times New Roman"/>
          <w:snapToGrid/>
          <w:kern w:val="2"/>
          <w:sz w:val="28"/>
          <w:szCs w:val="28"/>
          <w:lang w:eastAsia="zh-CN"/>
        </w:rPr>
        <w:t>：</w:t>
      </w:r>
    </w:p>
    <w:p w14:paraId="7BF4D8E2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</w:pPr>
    </w:p>
    <w:p w14:paraId="19204E86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</w:pPr>
    </w:p>
    <w:p w14:paraId="10C5DB70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</w:pPr>
    </w:p>
    <w:p w14:paraId="2492BD4B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</w:pPr>
    </w:p>
    <w:p w14:paraId="3531BC32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</w:pPr>
    </w:p>
    <w:p w14:paraId="3495B016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</w:pPr>
      <w:r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  <w:t>2023 年度</w:t>
      </w:r>
    </w:p>
    <w:p w14:paraId="61A54DB3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</w:pPr>
      <w:r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  <w:t>榆树市科学技术协会</w:t>
      </w:r>
      <w:r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  <w:t>决算</w:t>
      </w:r>
      <w:r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  <w:t>（汇总）</w:t>
      </w:r>
    </w:p>
    <w:p w14:paraId="6BE5598F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</w:pPr>
    </w:p>
    <w:p w14:paraId="2FDCA9CC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</w:pPr>
    </w:p>
    <w:p w14:paraId="4F8E7635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</w:pPr>
    </w:p>
    <w:p w14:paraId="1A754BAD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</w:pPr>
    </w:p>
    <w:p w14:paraId="7EDAB91C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</w:pPr>
    </w:p>
    <w:p w14:paraId="2E413469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</w:pPr>
    </w:p>
    <w:p w14:paraId="268BE6E0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</w:pPr>
    </w:p>
    <w:p w14:paraId="624457E8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</w:pPr>
    </w:p>
    <w:p w14:paraId="774CC5D9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</w:pPr>
    </w:p>
    <w:p w14:paraId="72540ACB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</w:pPr>
    </w:p>
    <w:p w14:paraId="0025A9B4">
      <w:pPr>
        <w:widowControl w:val="0"/>
        <w:kinsoku/>
        <w:autoSpaceDE/>
        <w:autoSpaceDN/>
        <w:adjustRightInd/>
        <w:snapToGrid/>
        <w:spacing w:line="240" w:lineRule="auto"/>
        <w:ind w:firstLine="880" w:firstLineChars="200"/>
        <w:jc w:val="center"/>
        <w:textAlignment w:val="auto"/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</w:pPr>
    </w:p>
    <w:p w14:paraId="6EB901A4">
      <w:pPr>
        <w:widowControl w:val="0"/>
        <w:kinsoku/>
        <w:autoSpaceDE/>
        <w:autoSpaceDN/>
        <w:adjustRightInd/>
        <w:snapToGrid/>
        <w:spacing w:line="240" w:lineRule="auto"/>
        <w:ind w:firstLine="640" w:firstLineChars="200"/>
        <w:jc w:val="center"/>
        <w:textAlignment w:val="auto"/>
        <w:rPr>
          <w:rFonts w:hint="default" w:ascii="仿宋" w:hAnsi="仿宋" w:eastAsia="仿宋" w:cs="Arial"/>
          <w:snapToGrid/>
          <w:kern w:val="2"/>
          <w:sz w:val="32"/>
          <w:szCs w:val="32"/>
          <w:lang w:eastAsia="zh-CN"/>
        </w:rPr>
      </w:pPr>
      <w:r>
        <w:rPr>
          <w:rFonts w:hint="default" w:ascii="Times New Roman" w:hAnsi="Times New Roman" w:eastAsia="仿宋" w:cs="Times New Roman"/>
          <w:snapToGrid/>
          <w:kern w:val="2"/>
          <w:sz w:val="32"/>
          <w:szCs w:val="32"/>
          <w:lang w:eastAsia="zh-CN"/>
        </w:rPr>
        <w:t xml:space="preserve">2024 </w:t>
      </w:r>
      <w:r>
        <w:rPr>
          <w:rFonts w:hint="default" w:ascii="仿宋" w:hAnsi="仿宋" w:eastAsia="仿宋" w:cs="Arial"/>
          <w:snapToGrid/>
          <w:kern w:val="2"/>
          <w:sz w:val="32"/>
          <w:szCs w:val="32"/>
          <w:lang w:eastAsia="zh-CN"/>
        </w:rPr>
        <w:t xml:space="preserve">年 </w:t>
      </w:r>
      <w:r>
        <w:rPr>
          <w:rFonts w:hint="eastAsia" w:ascii="仿宋" w:hAnsi="仿宋" w:eastAsia="仿宋" w:cs="Arial"/>
          <w:snapToGrid/>
          <w:kern w:val="2"/>
          <w:sz w:val="32"/>
          <w:szCs w:val="32"/>
          <w:lang w:val="en-US" w:eastAsia="zh-CN"/>
        </w:rPr>
        <w:t>10</w:t>
      </w:r>
      <w:r>
        <w:rPr>
          <w:rFonts w:hint="default" w:ascii="仿宋" w:hAnsi="仿宋" w:eastAsia="仿宋" w:cs="Arial"/>
          <w:snapToGrid/>
          <w:kern w:val="2"/>
          <w:sz w:val="32"/>
          <w:szCs w:val="32"/>
          <w:lang w:eastAsia="zh-CN"/>
        </w:rPr>
        <w:t xml:space="preserve"> 月  </w:t>
      </w:r>
      <w:r>
        <w:rPr>
          <w:rFonts w:hint="eastAsia" w:ascii="仿宋" w:hAnsi="仿宋" w:eastAsia="仿宋" w:cs="Arial"/>
          <w:snapToGrid/>
          <w:kern w:val="2"/>
          <w:sz w:val="32"/>
          <w:szCs w:val="32"/>
          <w:lang w:val="en-US" w:eastAsia="zh-CN"/>
        </w:rPr>
        <w:t>24</w:t>
      </w:r>
      <w:r>
        <w:rPr>
          <w:rFonts w:hint="default" w:ascii="仿宋" w:hAnsi="仿宋" w:eastAsia="仿宋" w:cs="Arial"/>
          <w:snapToGrid/>
          <w:kern w:val="2"/>
          <w:sz w:val="32"/>
          <w:szCs w:val="32"/>
          <w:lang w:eastAsia="zh-CN"/>
        </w:rPr>
        <w:t xml:space="preserve"> 日</w:t>
      </w:r>
    </w:p>
    <w:p w14:paraId="2A411E1A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ascii="仿宋" w:hAnsi="仿宋" w:eastAsia="仿宋" w:cs="Arial"/>
          <w:snapToGrid/>
          <w:kern w:val="2"/>
          <w:sz w:val="44"/>
          <w:szCs w:val="44"/>
          <w:lang w:eastAsia="zh-CN"/>
        </w:rPr>
        <w:sectPr>
          <w:footerReference r:id="rId5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24DB9D20">
      <w:pPr>
        <w:spacing w:before="140" w:line="223" w:lineRule="auto"/>
        <w:ind w:left="3502" w:firstLine="880" w:firstLineChars="200"/>
        <w:outlineLvl w:val="0"/>
        <w:rPr>
          <w:rFonts w:ascii="仿宋" w:hAnsi="仿宋" w:eastAsia="仿宋" w:cs="仿宋"/>
          <w:sz w:val="43"/>
          <w:szCs w:val="43"/>
        </w:rPr>
      </w:pPr>
      <w:r>
        <w:rPr>
          <w:rFonts w:hint="eastAsia" w:ascii="仿宋" w:hAnsi="仿宋" w:eastAsia="仿宋" w:cs="Times New Roman"/>
          <w:snapToGrid/>
          <w:kern w:val="2"/>
          <w:sz w:val="44"/>
          <w:szCs w:val="22"/>
          <w:lang w:eastAsia="zh-CN"/>
        </w:rPr>
        <w:t>目   录</w:t>
      </w:r>
    </w:p>
    <w:p w14:paraId="5606BDD1">
      <w:pPr>
        <w:spacing w:before="101" w:line="223" w:lineRule="auto"/>
        <w:ind w:left="49" w:firstLine="622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z w:val="31"/>
          <w:szCs w:val="31"/>
        </w:rPr>
        <w:t>第一部分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b/>
          <w:bCs/>
          <w:sz w:val="31"/>
          <w:szCs w:val="31"/>
        </w:rPr>
        <w:t>部门概况</w:t>
      </w:r>
    </w:p>
    <w:p w14:paraId="796C2E28">
      <w:pPr>
        <w:spacing w:before="249" w:line="223" w:lineRule="auto"/>
        <w:ind w:left="40" w:firstLine="620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z w:val="31"/>
          <w:szCs w:val="31"/>
        </w:rPr>
        <w:t>一、部门职责</w:t>
      </w:r>
    </w:p>
    <w:p w14:paraId="59055A4A">
      <w:pPr>
        <w:spacing w:before="250" w:line="222" w:lineRule="auto"/>
        <w:ind w:left="45" w:firstLine="648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二、机构设置及部门决算单位构成</w:t>
      </w:r>
    </w:p>
    <w:p w14:paraId="0B877B07">
      <w:pPr>
        <w:spacing w:before="250" w:line="223" w:lineRule="auto"/>
        <w:ind w:left="49" w:firstLine="630" w:firstLineChars="200"/>
        <w:outlineLvl w:val="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2"/>
          <w:sz w:val="31"/>
          <w:szCs w:val="31"/>
        </w:rPr>
        <w:t>第二部分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2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3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2"/>
          <w:sz w:val="31"/>
          <w:szCs w:val="31"/>
        </w:rPr>
        <w:t>年度部门决算表</w:t>
      </w:r>
    </w:p>
    <w:p w14:paraId="4066F692">
      <w:pPr>
        <w:spacing w:before="250" w:line="223" w:lineRule="auto"/>
        <w:ind w:left="40" w:firstLine="636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一、收入支出决算总表</w:t>
      </w:r>
    </w:p>
    <w:p w14:paraId="40AFD6F0">
      <w:pPr>
        <w:spacing w:before="250" w:line="223" w:lineRule="auto"/>
        <w:ind w:left="45" w:firstLine="640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二、收入决算表</w:t>
      </w:r>
    </w:p>
    <w:p w14:paraId="5F9D353A">
      <w:pPr>
        <w:spacing w:before="249" w:line="223" w:lineRule="auto"/>
        <w:ind w:left="44" w:firstLine="640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三、支出决算表</w:t>
      </w:r>
    </w:p>
    <w:p w14:paraId="28CB1AF7">
      <w:pPr>
        <w:spacing w:before="250" w:line="223" w:lineRule="auto"/>
        <w:ind w:left="73" w:firstLine="640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四、财政拨款收入支出决算总表</w:t>
      </w:r>
    </w:p>
    <w:p w14:paraId="29B83636">
      <w:pPr>
        <w:spacing w:before="249" w:line="223" w:lineRule="auto"/>
        <w:ind w:left="40" w:firstLine="652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五、一般公共预算财政拨款支出决算表</w:t>
      </w:r>
    </w:p>
    <w:p w14:paraId="6199B5C9">
      <w:pPr>
        <w:spacing w:before="250" w:line="223" w:lineRule="auto"/>
        <w:ind w:left="38" w:firstLine="652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六、一般公共预算财政拨款基本支出决算明细表</w:t>
      </w:r>
    </w:p>
    <w:p w14:paraId="7A753063">
      <w:pPr>
        <w:spacing w:before="251" w:line="221" w:lineRule="auto"/>
        <w:ind w:left="41" w:firstLine="648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七、政府性基金预算财政拨款收入支出决算表</w:t>
      </w:r>
    </w:p>
    <w:p w14:paraId="560BFED2">
      <w:pPr>
        <w:spacing w:before="252" w:line="223" w:lineRule="auto"/>
        <w:ind w:left="34" w:firstLine="640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八、</w:t>
      </w:r>
      <w:r>
        <w:rPr>
          <w:rFonts w:hint="default" w:ascii="Times New Roman" w:hAnsi="Times New Roman" w:eastAsia="仿宋_GB2312" w:cs="Times New Roman"/>
          <w:spacing w:val="-8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国有资本经营预算财政拨款支出决算表</w:t>
      </w:r>
    </w:p>
    <w:p w14:paraId="7853FF8D">
      <w:pPr>
        <w:spacing w:before="249" w:line="223" w:lineRule="auto"/>
        <w:ind w:left="47" w:firstLine="652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九、财政拨款“三公”经费支出决算表</w:t>
      </w:r>
    </w:p>
    <w:p w14:paraId="5939869F">
      <w:pPr>
        <w:spacing w:before="250" w:line="223" w:lineRule="auto"/>
        <w:ind w:left="44" w:firstLine="644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十、部门预算项目支出绩效自评表</w:t>
      </w:r>
    </w:p>
    <w:p w14:paraId="1DD2F702">
      <w:pPr>
        <w:spacing w:before="249" w:line="223" w:lineRule="auto"/>
        <w:ind w:left="49" w:firstLine="634" w:firstLineChars="200"/>
        <w:outlineLvl w:val="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3"/>
          <w:sz w:val="31"/>
          <w:szCs w:val="31"/>
        </w:rPr>
        <w:t>第三部分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b/>
          <w:bCs/>
          <w:spacing w:val="3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3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3"/>
          <w:sz w:val="31"/>
          <w:szCs w:val="31"/>
        </w:rPr>
        <w:t>年度部门决算情况说明</w:t>
      </w:r>
    </w:p>
    <w:p w14:paraId="7EFECC79">
      <w:pPr>
        <w:spacing w:before="250" w:line="223" w:lineRule="auto"/>
        <w:ind w:left="40" w:firstLine="640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一、收入支出决算总体情况说明</w:t>
      </w:r>
    </w:p>
    <w:p w14:paraId="0D4ECB4D">
      <w:pPr>
        <w:spacing w:before="250" w:line="223" w:lineRule="auto"/>
        <w:ind w:left="45" w:firstLine="644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二、收入决算情况说明</w:t>
      </w:r>
    </w:p>
    <w:p w14:paraId="4BFADA0F">
      <w:pPr>
        <w:spacing w:before="250" w:line="223" w:lineRule="auto"/>
        <w:ind w:left="44" w:firstLine="644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三、支出决算情况说明</w:t>
      </w:r>
    </w:p>
    <w:p w14:paraId="2AFE3705">
      <w:pPr>
        <w:spacing w:before="249" w:line="223" w:lineRule="auto"/>
        <w:ind w:left="73" w:firstLine="644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四、财政拨款收入支出决算总体情况说明</w:t>
      </w:r>
    </w:p>
    <w:p w14:paraId="4D7A10C8">
      <w:pPr>
        <w:spacing w:line="223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6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6618ED9D">
      <w:pPr>
        <w:spacing w:before="159" w:line="223" w:lineRule="auto"/>
        <w:ind w:left="40" w:firstLine="652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五、一般公共预算财政拨款支出决算情况说明</w:t>
      </w:r>
    </w:p>
    <w:p w14:paraId="0ABD0C0C">
      <w:pPr>
        <w:spacing w:before="249" w:line="223" w:lineRule="auto"/>
        <w:ind w:left="38" w:firstLine="652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六、一般公共预算财政拨款基本支出决算情况说明</w:t>
      </w:r>
    </w:p>
    <w:p w14:paraId="7A98B509">
      <w:pPr>
        <w:spacing w:before="250" w:line="221" w:lineRule="auto"/>
        <w:ind w:left="41" w:firstLine="652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七、政府性基金预算财政拨款收入支出决算情况说明</w:t>
      </w:r>
    </w:p>
    <w:p w14:paraId="77CBBFE2">
      <w:pPr>
        <w:spacing w:before="251" w:line="223" w:lineRule="auto"/>
        <w:ind w:left="34" w:firstLine="644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八、</w:t>
      </w:r>
      <w:r>
        <w:rPr>
          <w:rFonts w:hint="default" w:ascii="Times New Roman" w:hAnsi="Times New Roman" w:eastAsia="仿宋_GB2312" w:cs="Times New Roman"/>
          <w:spacing w:val="-9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国有资本经营预算财政拨款支出决算情况说明</w:t>
      </w:r>
    </w:p>
    <w:p w14:paraId="54BEB291">
      <w:pPr>
        <w:spacing w:before="250" w:line="223" w:lineRule="auto"/>
        <w:ind w:left="47" w:firstLine="652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九、财政拨款“三公”经费支出决算情况说明</w:t>
      </w:r>
    </w:p>
    <w:p w14:paraId="7CD81D63">
      <w:pPr>
        <w:spacing w:before="249" w:line="224" w:lineRule="auto"/>
        <w:ind w:left="44" w:firstLine="644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十、绩效评价情况说明</w:t>
      </w:r>
    </w:p>
    <w:p w14:paraId="3D799678">
      <w:pPr>
        <w:spacing w:before="248" w:line="223" w:lineRule="auto"/>
        <w:ind w:left="44" w:firstLine="648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十一、其他重要事项情况说明</w:t>
      </w:r>
    </w:p>
    <w:p w14:paraId="261430A7">
      <w:pPr>
        <w:spacing w:before="250" w:line="224" w:lineRule="auto"/>
        <w:ind w:left="49" w:firstLine="622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z w:val="31"/>
          <w:szCs w:val="31"/>
        </w:rPr>
        <w:t>第四部分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b/>
          <w:bCs/>
          <w:sz w:val="31"/>
          <w:szCs w:val="31"/>
        </w:rPr>
        <w:t>名词解释</w:t>
      </w:r>
    </w:p>
    <w:p w14:paraId="39AAE458">
      <w:pPr>
        <w:spacing w:line="224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7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0367F49F">
      <w:pPr>
        <w:spacing w:before="189" w:line="443" w:lineRule="exact"/>
        <w:ind w:left="2215" w:firstLine="887" w:firstLineChars="200"/>
        <w:outlineLvl w:val="0"/>
        <w:rPr>
          <w:rFonts w:hint="default" w:ascii="Times New Roman" w:hAnsi="Times New Roman" w:eastAsia="仿宋_GB2312" w:cs="Times New Roman"/>
          <w:b/>
          <w:bCs/>
          <w:sz w:val="44"/>
          <w:szCs w:val="44"/>
        </w:rPr>
      </w:pPr>
      <w:r>
        <w:rPr>
          <w:rFonts w:hint="default" w:ascii="Times New Roman" w:hAnsi="Times New Roman" w:eastAsia="仿宋_GB2312" w:cs="Times New Roman"/>
          <w:b/>
          <w:bCs/>
          <w:spacing w:val="1"/>
          <w:position w:val="-2"/>
          <w:sz w:val="44"/>
          <w:szCs w:val="44"/>
        </w:rPr>
        <w:t>第一部分</w:t>
      </w:r>
      <w:r>
        <w:rPr>
          <w:rFonts w:hint="default" w:ascii="Times New Roman" w:hAnsi="Times New Roman" w:eastAsia="仿宋_GB2312" w:cs="Times New Roman"/>
          <w:b/>
          <w:bCs/>
          <w:spacing w:val="14"/>
          <w:position w:val="-2"/>
          <w:sz w:val="44"/>
          <w:szCs w:val="44"/>
        </w:rPr>
        <w:t xml:space="preserve">   </w:t>
      </w:r>
      <w:r>
        <w:rPr>
          <w:rFonts w:hint="default" w:ascii="Times New Roman" w:hAnsi="Times New Roman" w:eastAsia="仿宋_GB2312" w:cs="Times New Roman"/>
          <w:b/>
          <w:bCs/>
          <w:spacing w:val="1"/>
          <w:position w:val="-2"/>
          <w:sz w:val="44"/>
          <w:szCs w:val="44"/>
        </w:rPr>
        <w:t>部门概况</w:t>
      </w:r>
    </w:p>
    <w:p w14:paraId="6CA49DC0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一、部门职责</w:t>
      </w:r>
    </w:p>
    <w:p w14:paraId="4BDAEDBA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负责普及科学技术工作，开展科学技术交流和合作。为科学技术工作者和科学技术团体提供服务。</w:t>
      </w:r>
    </w:p>
    <w:p w14:paraId="79B196CA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二、机构设置及部门决算单位构成</w:t>
      </w:r>
    </w:p>
    <w:p w14:paraId="0CFD6C55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根据上述职责，科学技术协会内设3个机构，分别为普及部、学会部、宣教部(办公室)。</w:t>
      </w:r>
    </w:p>
    <w:p w14:paraId="12ED8B73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纳入榆树市科学技术协会202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3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年度部门决算编制范围的单位包括：</w:t>
      </w:r>
    </w:p>
    <w:p w14:paraId="5E44EBF0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榆树市科学技术协会本级门决算编制范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6"/>
          <w:sz w:val="31"/>
          <w:szCs w:val="31"/>
        </w:rPr>
        <w:t>围的单位包括：</w:t>
      </w:r>
    </w:p>
    <w:p w14:paraId="0E9A15F4">
      <w:pPr>
        <w:numPr>
          <w:ilvl w:val="0"/>
          <w:numId w:val="1"/>
        </w:numPr>
        <w:spacing w:before="53" w:line="222" w:lineRule="auto"/>
        <w:ind w:left="691" w:firstLine="620" w:firstLineChars="200"/>
        <w:rPr>
          <w:rFonts w:hint="default" w:ascii="Times New Roman" w:hAnsi="Times New Roman" w:eastAsia="仿宋_GB2312" w:cs="Times New Roman"/>
          <w:spacing w:val="7"/>
          <w:sz w:val="31"/>
          <w:szCs w:val="31"/>
        </w:rPr>
      </w:pP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榆树市科学技术协会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本级</w:t>
      </w:r>
    </w:p>
    <w:p w14:paraId="1150BC73">
      <w:pPr>
        <w:numPr>
          <w:ilvl w:val="0"/>
          <w:numId w:val="1"/>
        </w:numPr>
        <w:spacing w:before="53" w:line="222" w:lineRule="auto"/>
        <w:ind w:left="691" w:firstLine="648" w:firstLineChars="200"/>
        <w:rPr>
          <w:rFonts w:hint="default" w:ascii="Times New Roman" w:hAnsi="Times New Roman" w:eastAsia="仿宋_GB2312" w:cs="Times New Roman"/>
          <w:spacing w:val="7"/>
          <w:sz w:val="31"/>
          <w:szCs w:val="31"/>
        </w:rPr>
      </w:pP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榆树市科技馆</w:t>
      </w:r>
    </w:p>
    <w:p w14:paraId="58BB9F70">
      <w:pPr>
        <w:spacing w:before="189" w:line="186" w:lineRule="auto"/>
        <w:ind w:left="1142" w:firstLine="883" w:firstLineChars="200"/>
        <w:rPr>
          <w:rFonts w:hint="default" w:ascii="Times New Roman" w:hAnsi="Times New Roman" w:eastAsia="仿宋_GB2312" w:cs="Times New Roman"/>
          <w:b/>
          <w:bCs/>
          <w:sz w:val="44"/>
          <w:szCs w:val="44"/>
        </w:rPr>
      </w:pPr>
      <w:r>
        <w:rPr>
          <w:rFonts w:hint="default" w:ascii="Times New Roman" w:hAnsi="Times New Roman" w:eastAsia="仿宋_GB2312" w:cs="Times New Roman"/>
          <w:b/>
          <w:bCs/>
          <w:sz w:val="44"/>
          <w:szCs w:val="44"/>
        </w:rPr>
        <w:t>第二部分</w:t>
      </w:r>
      <w:r>
        <w:rPr>
          <w:rFonts w:hint="default" w:ascii="Times New Roman" w:hAnsi="Times New Roman" w:eastAsia="仿宋_GB2312" w:cs="Times New Roman"/>
          <w:b/>
          <w:bCs/>
          <w:spacing w:val="111"/>
          <w:sz w:val="44"/>
          <w:szCs w:val="44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43"/>
          <w:szCs w:val="43"/>
        </w:rPr>
        <w:t>2023</w:t>
      </w:r>
      <w:r>
        <w:rPr>
          <w:rFonts w:hint="default" w:ascii="Times New Roman" w:hAnsi="Times New Roman" w:eastAsia="仿宋_GB2312" w:cs="Times New Roman"/>
          <w:b/>
          <w:bCs/>
          <w:spacing w:val="-103"/>
          <w:sz w:val="43"/>
          <w:szCs w:val="43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44"/>
          <w:szCs w:val="44"/>
        </w:rPr>
        <w:t>年度部门决算表</w:t>
      </w:r>
    </w:p>
    <w:p w14:paraId="049805D1">
      <w:pPr>
        <w:spacing w:before="100" w:line="224" w:lineRule="auto"/>
        <w:ind w:left="672" w:firstLine="650" w:firstLineChars="200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一、收入支出决算总表</w:t>
      </w:r>
    </w:p>
    <w:p w14:paraId="3C274841">
      <w:pPr>
        <w:spacing w:before="101" w:line="5918" w:lineRule="exact"/>
        <w:ind w:firstLine="420" w:firstLineChars="200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92725" cy="2291080"/>
            <wp:effectExtent l="0" t="0" r="3175" b="13970"/>
            <wp:docPr id="2" name="图片 2" descr="微信截图_20241030131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截图_2024103013102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92725" cy="229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3722F">
      <w:pPr>
        <w:spacing w:before="101" w:line="224" w:lineRule="auto"/>
        <w:ind w:left="672" w:firstLine="650" w:firstLineChars="200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二、收入决算表</w:t>
      </w:r>
    </w:p>
    <w:p w14:paraId="7BDC92B1">
      <w:pPr>
        <w:spacing w:before="209" w:line="5702" w:lineRule="exact"/>
        <w:ind w:firstLine="420" w:firstLineChars="200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93360" cy="3394075"/>
            <wp:effectExtent l="0" t="0" r="2540" b="15875"/>
            <wp:docPr id="1" name="图片 1" descr="微信截图_20241101091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截图_2024110109150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93360" cy="339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19E70A">
      <w:pPr>
        <w:spacing w:before="101" w:line="356" w:lineRule="auto"/>
        <w:ind w:left="35" w:right="10" w:firstLine="620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</w:p>
    <w:p w14:paraId="4DB2DBCE">
      <w:pPr>
        <w:spacing w:line="356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8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6B3D0C4B">
      <w:pPr>
        <w:spacing w:before="101" w:line="224" w:lineRule="auto"/>
        <w:ind w:left="674" w:firstLine="650" w:firstLineChars="200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三、支出决算表</w:t>
      </w:r>
    </w:p>
    <w:p w14:paraId="4E6C9AC9">
      <w:pPr>
        <w:spacing w:before="151" w:line="240" w:lineRule="auto"/>
        <w:ind w:firstLine="420" w:firstLineChars="200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87010" cy="4215130"/>
            <wp:effectExtent l="0" t="0" r="8890" b="13970"/>
            <wp:docPr id="3" name="图片 3" descr="微信截图_20241101091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截图_2024110109160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7010" cy="421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C070C">
      <w:pPr>
        <w:spacing w:before="101" w:line="224" w:lineRule="auto"/>
        <w:ind w:left="686" w:firstLine="650" w:firstLineChars="200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四、财政拨款收入支出决算总表</w:t>
      </w:r>
    </w:p>
    <w:p w14:paraId="690F4172">
      <w:pPr>
        <w:spacing w:line="4378" w:lineRule="exact"/>
        <w:ind w:firstLine="420" w:firstLineChars="200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85105" cy="1931670"/>
            <wp:effectExtent l="0" t="0" r="10795" b="11430"/>
            <wp:docPr id="4" name="图片 4" descr="微信截图_20241101091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截图_2024110109164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85105" cy="1931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FC26D">
      <w:pPr>
        <w:spacing w:before="100" w:line="224" w:lineRule="auto"/>
        <w:ind w:left="675" w:firstLine="620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</w:p>
    <w:p w14:paraId="0C1EEA43">
      <w:pPr>
        <w:spacing w:line="224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9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0D3F7E2B">
      <w:pPr>
        <w:spacing w:before="100" w:line="224" w:lineRule="auto"/>
        <w:ind w:left="676" w:firstLine="654" w:firstLineChars="200"/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</w:pPr>
    </w:p>
    <w:p w14:paraId="061C1AAC">
      <w:pPr>
        <w:spacing w:before="100" w:line="224" w:lineRule="auto"/>
        <w:ind w:left="676" w:firstLine="654" w:firstLineChars="200"/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</w:pPr>
    </w:p>
    <w:p w14:paraId="55033DF0">
      <w:pPr>
        <w:spacing w:before="100" w:line="224" w:lineRule="auto"/>
        <w:ind w:left="676" w:firstLine="654" w:firstLineChars="200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五、一般公共预算财政拨款支出决算表</w:t>
      </w:r>
    </w:p>
    <w:p w14:paraId="7C2EB42E">
      <w:pPr>
        <w:spacing w:before="229" w:line="240" w:lineRule="auto"/>
        <w:ind w:firstLine="420" w:firstLineChars="200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93995" cy="4288155"/>
            <wp:effectExtent l="0" t="0" r="1905" b="17145"/>
            <wp:docPr id="5" name="图片 5" descr="微信截图_202411010917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截图_2024110109174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93995" cy="428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F6E085">
      <w:pPr>
        <w:spacing w:before="100" w:line="224" w:lineRule="auto"/>
        <w:ind w:left="677" w:firstLine="654" w:firstLineChars="200"/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</w:pPr>
    </w:p>
    <w:p w14:paraId="7F1EBCC9">
      <w:pPr>
        <w:spacing w:before="100" w:line="224" w:lineRule="auto"/>
        <w:ind w:left="677" w:firstLine="654" w:firstLineChars="200"/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</w:pPr>
    </w:p>
    <w:p w14:paraId="70FAC6CA">
      <w:pPr>
        <w:spacing w:before="100" w:line="224" w:lineRule="auto"/>
        <w:ind w:left="677" w:firstLine="654" w:firstLineChars="200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六、一般公共预算财政拨款基本支出决算明细表</w:t>
      </w:r>
    </w:p>
    <w:p w14:paraId="5A4315AA">
      <w:pPr>
        <w:spacing w:before="234" w:line="5964" w:lineRule="exact"/>
        <w:ind w:firstLine="420" w:firstLineChars="200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90820" cy="2616835"/>
            <wp:effectExtent l="0" t="0" r="5080" b="12065"/>
            <wp:docPr id="7" name="图片 7" descr="微信截图_20241030132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截图_2024103013201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90820" cy="261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B135E1E">
      <w:pPr>
        <w:spacing w:line="364" w:lineRule="auto"/>
        <w:ind w:firstLine="982" w:firstLineChars="300"/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</w:pPr>
    </w:p>
    <w:p w14:paraId="3D0F4B58">
      <w:pPr>
        <w:spacing w:line="364" w:lineRule="auto"/>
        <w:ind w:firstLine="982" w:firstLineChars="300"/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</w:pPr>
    </w:p>
    <w:p w14:paraId="51E1BDC7">
      <w:pPr>
        <w:spacing w:line="364" w:lineRule="auto"/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</w:pPr>
    </w:p>
    <w:p w14:paraId="4ED84009">
      <w:pPr>
        <w:spacing w:line="364" w:lineRule="auto"/>
        <w:ind w:firstLine="982" w:firstLineChars="300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七、政府性基金预算财政拨款收入支出决算表</w:t>
      </w:r>
    </w:p>
    <w:p w14:paraId="2C2C9C7E">
      <w:pPr>
        <w:spacing w:before="235" w:line="4714" w:lineRule="exact"/>
        <w:ind w:firstLine="420" w:firstLineChars="200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position w:val="-94"/>
        </w:rPr>
        <w:drawing>
          <wp:inline distT="0" distB="0" distL="0" distR="0">
            <wp:extent cx="4987925" cy="2993390"/>
            <wp:effectExtent l="0" t="0" r="0" b="0"/>
            <wp:docPr id="14" name="IM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 14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87925" cy="299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099525">
      <w:pPr>
        <w:spacing w:line="364" w:lineRule="auto"/>
        <w:ind w:firstLine="930" w:firstLineChars="300"/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</w:pP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本单位没有政府性基金预算财政拨款</w:t>
      </w:r>
    </w:p>
    <w:p w14:paraId="0BEF4E25">
      <w:pPr>
        <w:spacing w:line="364" w:lineRule="auto"/>
        <w:ind w:firstLine="982" w:firstLineChars="300"/>
        <w:rPr>
          <w:rFonts w:hint="eastAsia" w:ascii="Times New Roman" w:hAnsi="Times New Roman" w:eastAsia="仿宋_GB2312" w:cs="Times New Roman"/>
          <w:b/>
          <w:bCs/>
          <w:spacing w:val="8"/>
          <w:sz w:val="31"/>
          <w:szCs w:val="31"/>
          <w:lang w:val="en-US" w:eastAsia="zh-CN"/>
        </w:rPr>
      </w:pPr>
    </w:p>
    <w:p w14:paraId="7C8B49EC">
      <w:pPr>
        <w:spacing w:before="101" w:line="224" w:lineRule="auto"/>
        <w:ind w:left="667" w:firstLine="654" w:firstLineChars="200"/>
        <w:rPr>
          <w:rFonts w:hint="eastAsia" w:ascii="Times New Roman" w:hAnsi="Times New Roman" w:eastAsia="仿宋_GB2312" w:cs="Times New Roman"/>
          <w:b/>
          <w:bCs/>
          <w:spacing w:val="8"/>
          <w:sz w:val="31"/>
          <w:szCs w:val="31"/>
          <w:lang w:val="en-US" w:eastAsia="zh-CN"/>
        </w:rPr>
      </w:pPr>
    </w:p>
    <w:p w14:paraId="3719B3BA">
      <w:pPr>
        <w:spacing w:before="101" w:line="224" w:lineRule="auto"/>
        <w:ind w:left="667" w:firstLine="654" w:firstLineChars="200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八、国有资本经营预算财政拨款支出决算表</w:t>
      </w:r>
    </w:p>
    <w:p w14:paraId="22201B03">
      <w:pPr>
        <w:spacing w:before="182" w:line="4817" w:lineRule="exact"/>
        <w:ind w:firstLine="420" w:firstLineChars="200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position w:val="-96"/>
        </w:rPr>
        <w:drawing>
          <wp:inline distT="0" distB="0" distL="0" distR="0">
            <wp:extent cx="5254625" cy="3058160"/>
            <wp:effectExtent l="0" t="0" r="0" b="0"/>
            <wp:docPr id="16" name="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 16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55259" cy="3058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B4E564">
      <w:pPr>
        <w:spacing w:line="364" w:lineRule="auto"/>
        <w:rPr>
          <w:rFonts w:hint="default" w:ascii="Times New Roman" w:hAnsi="Times New Roman" w:eastAsia="仿宋_GB2312" w:cs="Times New Roman"/>
          <w:sz w:val="31"/>
          <w:szCs w:val="31"/>
        </w:rPr>
      </w:pPr>
    </w:p>
    <w:p w14:paraId="52089938">
      <w:pPr>
        <w:spacing w:line="364" w:lineRule="auto"/>
        <w:ind w:firstLine="930" w:firstLineChars="300"/>
        <w:rPr>
          <w:rFonts w:hint="default" w:ascii="Times New Roman" w:hAnsi="Times New Roman" w:eastAsia="仿宋_GB2312" w:cs="Times New Roman"/>
          <w:sz w:val="31"/>
          <w:szCs w:val="31"/>
          <w:lang w:val="en-US" w:eastAsia="zh-CN"/>
        </w:rPr>
        <w:sectPr>
          <w:footerReference r:id="rId10" w:type="default"/>
          <w:pgSz w:w="11907" w:h="16839"/>
          <w:pgMar w:top="1431" w:right="1785" w:bottom="1153" w:left="1785" w:header="0" w:footer="965" w:gutter="0"/>
          <w:cols w:space="720" w:num="1"/>
        </w:sectPr>
      </w:pP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本单位没有国有资本经营预算财政拨款</w:t>
      </w:r>
    </w:p>
    <w:p w14:paraId="193F0D7C">
      <w:pPr>
        <w:spacing w:before="101" w:line="224" w:lineRule="auto"/>
        <w:ind w:left="675" w:firstLine="654" w:firstLineChars="200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九、财政拨款“三公”经费支出决算表</w:t>
      </w:r>
    </w:p>
    <w:p w14:paraId="5D4AFA36">
      <w:pPr>
        <w:spacing w:before="96" w:line="5302" w:lineRule="exact"/>
        <w:ind w:firstLine="420" w:firstLineChars="200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position w:val="-106"/>
        </w:rPr>
        <w:drawing>
          <wp:inline distT="0" distB="0" distL="0" distR="0">
            <wp:extent cx="4991100" cy="3366770"/>
            <wp:effectExtent l="0" t="0" r="0" b="0"/>
            <wp:docPr id="18" name="IM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 18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3366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DBC6FA">
      <w:pPr>
        <w:spacing w:line="362" w:lineRule="auto"/>
        <w:rPr>
          <w:rFonts w:hint="default" w:ascii="Times New Roman" w:hAnsi="Times New Roman" w:eastAsia="仿宋_GB2312" w:cs="Times New Roman"/>
          <w:sz w:val="31"/>
          <w:szCs w:val="31"/>
        </w:rPr>
      </w:pPr>
    </w:p>
    <w:p w14:paraId="73356855">
      <w:pPr>
        <w:spacing w:line="362" w:lineRule="auto"/>
        <w:ind w:firstLine="930" w:firstLineChars="300"/>
        <w:rPr>
          <w:rFonts w:hint="default" w:ascii="Times New Roman" w:hAnsi="Times New Roman" w:eastAsia="仿宋_GB2312" w:cs="Times New Roman"/>
          <w:sz w:val="31"/>
          <w:szCs w:val="31"/>
          <w:lang w:val="en-US" w:eastAsia="zh-CN"/>
        </w:rPr>
        <w:sectPr>
          <w:footerReference r:id="rId11" w:type="default"/>
          <w:pgSz w:w="11907" w:h="16839"/>
          <w:pgMar w:top="1431" w:right="1785" w:bottom="1153" w:left="1785" w:header="0" w:footer="965" w:gutter="0"/>
          <w:cols w:space="720" w:num="1"/>
        </w:sectPr>
      </w:pP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本单位没有财政拨款“三公”经费支出</w:t>
      </w:r>
    </w:p>
    <w:p w14:paraId="110DB8CC">
      <w:pPr>
        <w:spacing w:before="100" w:line="224" w:lineRule="auto"/>
        <w:ind w:left="30" w:firstLine="654" w:firstLineChars="200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十、部门预算项目支出绩效自评表</w:t>
      </w:r>
    </w:p>
    <w:p w14:paraId="1C98C645">
      <w:pPr>
        <w:spacing w:line="9847" w:lineRule="exact"/>
        <w:ind w:firstLine="420" w:firstLineChars="200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position w:val="-196"/>
        </w:rPr>
        <w:drawing>
          <wp:inline distT="0" distB="0" distL="0" distR="0">
            <wp:extent cx="4912995" cy="6252210"/>
            <wp:effectExtent l="0" t="0" r="0" b="0"/>
            <wp:docPr id="20" name="IM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 20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913629" cy="6252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DE3104">
      <w:pPr>
        <w:spacing w:line="9847" w:lineRule="exact"/>
        <w:rPr>
          <w:rFonts w:hint="default" w:ascii="Times New Roman" w:hAnsi="Times New Roman" w:eastAsia="仿宋_GB2312" w:cs="Times New Roman"/>
        </w:rPr>
        <w:sectPr>
          <w:footerReference r:id="rId12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278F2DF3">
      <w:pPr>
        <w:spacing w:before="225" w:line="443" w:lineRule="exact"/>
        <w:jc w:val="center"/>
        <w:outlineLvl w:val="0"/>
        <w:rPr>
          <w:rFonts w:hint="default" w:ascii="Times New Roman" w:hAnsi="Times New Roman" w:eastAsia="仿宋_GB2312" w:cs="Times New Roman"/>
          <w:b/>
          <w:bCs/>
          <w:spacing w:val="5"/>
          <w:position w:val="-2"/>
          <w:sz w:val="43"/>
          <w:szCs w:val="43"/>
        </w:rPr>
      </w:pPr>
      <w:r>
        <w:rPr>
          <w:rFonts w:hint="default" w:ascii="Times New Roman" w:hAnsi="Times New Roman" w:eastAsia="仿宋_GB2312" w:cs="Times New Roman"/>
          <w:b/>
          <w:bCs/>
          <w:spacing w:val="5"/>
          <w:position w:val="-2"/>
          <w:sz w:val="43"/>
          <w:szCs w:val="43"/>
        </w:rPr>
        <w:t>第三部分</w:t>
      </w:r>
      <w:r>
        <w:rPr>
          <w:rFonts w:hint="default" w:ascii="Times New Roman" w:hAnsi="Times New Roman" w:eastAsia="仿宋_GB2312" w:cs="Times New Roman"/>
          <w:b/>
          <w:bCs/>
          <w:spacing w:val="103"/>
          <w:position w:val="-2"/>
          <w:sz w:val="43"/>
          <w:szCs w:val="43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5"/>
          <w:position w:val="-2"/>
          <w:sz w:val="43"/>
          <w:szCs w:val="43"/>
        </w:rPr>
        <w:t>2023年度部门决算情况说明</w:t>
      </w:r>
    </w:p>
    <w:p w14:paraId="30A391FA">
      <w:pPr>
        <w:spacing w:before="225" w:line="443" w:lineRule="exact"/>
        <w:jc w:val="center"/>
        <w:outlineLvl w:val="0"/>
        <w:rPr>
          <w:rFonts w:hint="default" w:ascii="Times New Roman" w:hAnsi="Times New Roman" w:eastAsia="仿宋_GB2312" w:cs="Times New Roman"/>
          <w:b/>
          <w:bCs/>
          <w:spacing w:val="5"/>
          <w:position w:val="-2"/>
          <w:sz w:val="43"/>
          <w:szCs w:val="43"/>
        </w:rPr>
      </w:pPr>
    </w:p>
    <w:p w14:paraId="2B33EA9F">
      <w:pPr>
        <w:spacing w:before="101" w:line="224" w:lineRule="auto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eastAsia="zh-CN"/>
        </w:rPr>
        <w:t>　　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一、收入支出决算总体情况说明</w:t>
      </w:r>
    </w:p>
    <w:p w14:paraId="2FE291CD">
      <w:pPr>
        <w:spacing w:before="248" w:line="362" w:lineRule="auto"/>
        <w:ind w:left="36" w:right="113" w:firstLine="636" w:firstLineChars="200"/>
        <w:rPr>
          <w:rFonts w:hint="default" w:ascii="Times New Roman" w:hAnsi="Times New Roman" w:eastAsia="仿宋_GB2312" w:cs="Times New Roman"/>
          <w:sz w:val="31"/>
          <w:szCs w:val="31"/>
          <w:lang w:val="en-US" w:eastAsia="zh-CN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2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年度收、支总计均为 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219.11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万元。与</w:t>
      </w:r>
      <w:r>
        <w:rPr>
          <w:rFonts w:hint="default" w:ascii="Times New Roman" w:hAnsi="Times New Roman" w:eastAsia="仿宋_GB2312" w:cs="Times New Roman"/>
          <w:spacing w:val="-3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3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年度相比，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收、支总计各增加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68.88</w:t>
      </w:r>
      <w:r>
        <w:rPr>
          <w:rFonts w:hint="default" w:ascii="Times New Roman" w:hAnsi="Times New Roman" w:eastAsia="仿宋_GB2312" w:cs="Times New Roman"/>
          <w:spacing w:val="32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万元，增长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45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%。主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0"/>
          <w:sz w:val="31"/>
          <w:szCs w:val="31"/>
        </w:rPr>
        <w:t>要原因：</w:t>
      </w:r>
      <w:r>
        <w:rPr>
          <w:rFonts w:hint="default" w:ascii="Times New Roman" w:hAnsi="Times New Roman" w:eastAsia="仿宋_GB2312" w:cs="Times New Roman"/>
          <w:spacing w:val="-68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-10"/>
          <w:sz w:val="31"/>
          <w:szCs w:val="31"/>
          <w:lang w:val="en-US" w:eastAsia="zh-CN"/>
        </w:rPr>
        <w:t>增加养老保险缴费</w:t>
      </w:r>
    </w:p>
    <w:p w14:paraId="4DB40C2D">
      <w:pPr>
        <w:spacing w:before="50" w:line="224" w:lineRule="auto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eastAsia="zh-CN"/>
        </w:rPr>
        <w:t>　　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二、收入决算情况说明</w:t>
      </w:r>
    </w:p>
    <w:p w14:paraId="143F5671">
      <w:pPr>
        <w:spacing w:before="253" w:line="368" w:lineRule="auto"/>
        <w:ind w:left="23" w:firstLine="636" w:firstLineChars="200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本年收入合计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219.11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万元，其中：财政拨款收入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219.11</w:t>
      </w:r>
      <w:r>
        <w:rPr>
          <w:rFonts w:hint="default" w:ascii="Times New Roman" w:hAnsi="Times New Roman" w:eastAsia="仿宋_GB2312" w:cs="Times New Roman"/>
          <w:spacing w:val="2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8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比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上年增加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68.88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万元，增长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45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 xml:space="preserve"> %，主要是</w:t>
      </w:r>
      <w:r>
        <w:rPr>
          <w:rFonts w:hint="eastAsia" w:ascii="Times New Roman" w:hAnsi="Times New Roman" w:eastAsia="仿宋_GB2312" w:cs="Times New Roman"/>
          <w:spacing w:val="-10"/>
          <w:sz w:val="31"/>
          <w:szCs w:val="31"/>
          <w:lang w:val="en-US" w:eastAsia="zh-CN"/>
        </w:rPr>
        <w:t>增加养老保险缴费</w:t>
      </w:r>
      <w:r>
        <w:rPr>
          <w:rFonts w:hint="default" w:ascii="Times New Roman" w:hAnsi="Times New Roman" w:eastAsia="仿宋_GB2312" w:cs="Times New Roman"/>
          <w:spacing w:val="-94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-94"/>
          <w:sz w:val="31"/>
          <w:szCs w:val="31"/>
          <w:lang w:eastAsia="zh-CN"/>
        </w:rPr>
        <w:t>；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上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级补助收入</w:t>
      </w:r>
      <w:r>
        <w:rPr>
          <w:rFonts w:hint="default" w:ascii="Times New Roman" w:hAnsi="Times New Roman" w:eastAsia="仿宋_GB2312" w:cs="Times New Roman"/>
          <w:spacing w:val="44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4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万元，比上年增加（减少）</w:t>
      </w:r>
      <w:r>
        <w:rPr>
          <w:rFonts w:hint="eastAsia" w:ascii="Times New Roman" w:hAnsi="Times New Roman" w:eastAsia="仿宋_GB2312" w:cs="Times New Roman"/>
          <w:spacing w:val="-1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万元，增长（下降）</w:t>
      </w:r>
      <w:r>
        <w:rPr>
          <w:rFonts w:hint="eastAsia" w:ascii="Times New Roman" w:hAnsi="Times New Roman" w:eastAsia="仿宋_GB2312" w:cs="Times New Roman"/>
          <w:spacing w:val="-1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7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%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；事业收入  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8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比上年增加（减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少）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增长（下降）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%；经营收入  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8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比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上年增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加（减少）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万元，增长（下降）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 %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；附属单位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上缴收入</w:t>
      </w:r>
      <w:r>
        <w:rPr>
          <w:rFonts w:hint="eastAsia" w:ascii="Times New Roman" w:hAnsi="Times New Roman" w:eastAsia="仿宋_GB2312" w:cs="Times New Roman"/>
          <w:spacing w:val="-9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 xml:space="preserve">  万元，比上年增加（减少）</w:t>
      </w:r>
      <w:r>
        <w:rPr>
          <w:rFonts w:hint="eastAsia" w:ascii="Times New Roman" w:hAnsi="Times New Roman" w:eastAsia="仿宋_GB2312" w:cs="Times New Roman"/>
          <w:spacing w:val="-9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万元，增长（下降）</w:t>
      </w:r>
      <w:r>
        <w:rPr>
          <w:rFonts w:hint="eastAsia" w:ascii="Times New Roman" w:hAnsi="Times New Roman" w:eastAsia="仿宋_GB2312" w:cs="Times New Roman"/>
          <w:spacing w:val="-9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3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%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；其他收入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 万元，</w:t>
      </w:r>
      <w:r>
        <w:rPr>
          <w:rFonts w:hint="default" w:ascii="Times New Roman" w:hAnsi="Times New Roman" w:eastAsia="仿宋_GB2312" w:cs="Times New Roman"/>
          <w:spacing w:val="-8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比上年增加（减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少）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增长（下降）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%。</w:t>
      </w:r>
    </w:p>
    <w:p w14:paraId="3C8777B3">
      <w:pPr>
        <w:spacing w:before="158" w:line="224" w:lineRule="auto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eastAsia="zh-CN"/>
        </w:rPr>
        <w:t>　　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三、支出决算情况说明</w:t>
      </w:r>
    </w:p>
    <w:p w14:paraId="2745BCDE">
      <w:pPr>
        <w:spacing w:before="251" w:line="368" w:lineRule="auto"/>
        <w:ind w:left="21" w:firstLine="636" w:firstLineChars="200"/>
        <w:rPr>
          <w:rFonts w:hint="default" w:ascii="Times New Roman" w:hAnsi="Times New Roman" w:eastAsia="仿宋_GB2312" w:cs="Times New Roman"/>
          <w:spacing w:val="-2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本年支出合计 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219.11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万元，其中：基本支出</w:t>
      </w:r>
      <w:r>
        <w:rPr>
          <w:rFonts w:hint="eastAsia" w:ascii="Times New Roman" w:hAnsi="Times New Roman" w:eastAsia="仿宋_GB2312" w:cs="Times New Roman"/>
          <w:spacing w:val="24"/>
          <w:sz w:val="31"/>
          <w:szCs w:val="31"/>
          <w:lang w:val="en-US" w:eastAsia="zh-CN"/>
        </w:rPr>
        <w:t>160.39</w:t>
      </w:r>
      <w:r>
        <w:rPr>
          <w:rFonts w:hint="default" w:ascii="Times New Roman" w:hAnsi="Times New Roman" w:eastAsia="仿宋_GB2312" w:cs="Times New Roman"/>
          <w:spacing w:val="2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8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比上年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增加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25.55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万元，增长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18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%；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项目支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出</w:t>
      </w:r>
      <w:r>
        <w:rPr>
          <w:rFonts w:hint="default" w:ascii="Times New Roman" w:hAnsi="Times New Roman" w:eastAsia="仿宋_GB2312" w:cs="Times New Roman"/>
          <w:spacing w:val="47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47"/>
          <w:sz w:val="31"/>
          <w:szCs w:val="31"/>
          <w:lang w:val="en-US" w:eastAsia="zh-CN"/>
        </w:rPr>
        <w:t>58.72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7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比上年增加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43.34</w:t>
      </w:r>
      <w:r>
        <w:rPr>
          <w:rFonts w:hint="default" w:ascii="Times New Roman" w:hAnsi="Times New Roman" w:eastAsia="仿宋_GB2312" w:cs="Times New Roman"/>
          <w:spacing w:val="-8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万元，增长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2</w:t>
      </w:r>
      <w:r>
        <w:rPr>
          <w:rFonts w:hint="default" w:ascii="Times New Roman" w:hAnsi="Times New Roman" w:eastAsia="仿宋_GB2312" w:cs="Times New Roman"/>
          <w:spacing w:val="5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%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 xml:space="preserve">；上缴上级支出 </w:t>
      </w:r>
      <w:r>
        <w:rPr>
          <w:rFonts w:hint="eastAsia" w:ascii="Times New Roman" w:hAnsi="Times New Roman" w:eastAsia="仿宋_GB2312" w:cs="Times New Roman"/>
          <w:spacing w:val="-2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 xml:space="preserve"> 万元，比上年增加（减少）</w:t>
      </w:r>
      <w:r>
        <w:rPr>
          <w:rFonts w:hint="eastAsia" w:ascii="Times New Roman" w:hAnsi="Times New Roman" w:eastAsia="仿宋_GB2312" w:cs="Times New Roman"/>
          <w:spacing w:val="-2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增长（</w:t>
      </w:r>
      <w:r>
        <w:rPr>
          <w:rFonts w:hint="default" w:ascii="Times New Roman" w:hAnsi="Times New Roman" w:eastAsia="仿宋_GB2312" w:cs="Times New Roman"/>
          <w:spacing w:val="-7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下降）</w:t>
      </w:r>
      <w:r>
        <w:rPr>
          <w:rFonts w:hint="eastAsia" w:ascii="Times New Roman" w:hAnsi="Times New Roman" w:eastAsia="仿宋_GB2312" w:cs="Times New Roman"/>
          <w:spacing w:val="2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5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%；经营支出</w:t>
      </w:r>
      <w:r>
        <w:rPr>
          <w:rFonts w:hint="default" w:ascii="Times New Roman" w:hAnsi="Times New Roman" w:eastAsia="仿宋_GB2312" w:cs="Times New Roman"/>
          <w:spacing w:val="46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46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7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比上年增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加（减少）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万元，增长（下降）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 %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；对附属单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位补助支出</w:t>
      </w:r>
      <w:r>
        <w:rPr>
          <w:rFonts w:hint="eastAsia" w:ascii="Times New Roman" w:hAnsi="Times New Roman" w:eastAsia="仿宋_GB2312" w:cs="Times New Roman"/>
          <w:spacing w:val="-1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万元，比上年增加（减少）</w:t>
      </w:r>
      <w:r>
        <w:rPr>
          <w:rFonts w:hint="eastAsia" w:ascii="Times New Roman" w:hAnsi="Times New Roman" w:eastAsia="仿宋_GB2312" w:cs="Times New Roman"/>
          <w:spacing w:val="-1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万元，增长（下降）</w:t>
      </w:r>
      <w:r>
        <w:rPr>
          <w:rFonts w:hint="eastAsia" w:ascii="Times New Roman" w:hAnsi="Times New Roman" w:eastAsia="仿宋_GB2312" w:cs="Times New Roman"/>
          <w:spacing w:val="-1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7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%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>。</w:t>
      </w:r>
    </w:p>
    <w:p w14:paraId="6D75FF32">
      <w:pPr>
        <w:spacing w:before="251" w:line="368" w:lineRule="auto"/>
        <w:ind w:left="21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四、财政拨款收入支出决算总体情况说明</w:t>
      </w:r>
    </w:p>
    <w:p w14:paraId="5FD7D9D7">
      <w:pPr>
        <w:spacing w:before="247" w:line="356" w:lineRule="auto"/>
        <w:ind w:left="54" w:right="12" w:firstLine="652" w:firstLineChars="200"/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2023 年度财政拨款收、支总计均为 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219.11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万元，与 2022 年相比，财政拨款收、支总计各增加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68.88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万元，增长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45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%。主要原因 :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增加养老保险缴费</w:t>
      </w:r>
    </w:p>
    <w:p w14:paraId="562170E1">
      <w:pPr>
        <w:numPr>
          <w:ilvl w:val="0"/>
          <w:numId w:val="2"/>
        </w:num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一般公共预算财政拨款支出决算情况说明</w:t>
      </w:r>
    </w:p>
    <w:p w14:paraId="3919A08D">
      <w:pPr>
        <w:numPr>
          <w:ilvl w:val="0"/>
          <w:numId w:val="0"/>
        </w:numPr>
        <w:spacing w:before="247" w:line="356" w:lineRule="auto"/>
        <w:ind w:leftChars="200" w:right="12" w:rightChars="0"/>
        <w:rPr>
          <w:rFonts w:hint="default" w:ascii="Times New Roman" w:hAnsi="Times New Roman" w:eastAsia="仿宋_GB2312" w:cs="Times New Roman"/>
          <w:spacing w:val="8"/>
          <w:sz w:val="31"/>
          <w:szCs w:val="31"/>
          <w:lang w:val="en-US" w:eastAsia="zh-CN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（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 xml:space="preserve"> 一 ）一般公共预算财政拨款支出决算总体情况</w:t>
      </w:r>
    </w:p>
    <w:p w14:paraId="6AF147B5">
      <w:pPr>
        <w:spacing w:before="247" w:line="356" w:lineRule="auto"/>
        <w:ind w:right="12" w:firstLine="636"/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2023 年度一般公共预算财政拨款支出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219.11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 xml:space="preserve">  万元，占本年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支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 xml:space="preserve">出合计的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 xml:space="preserve"> %。与 2022 年度相比，一般公共预算财政拨款支 出增加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highlight w:val="none"/>
          <w:lang w:val="en-US" w:eastAsia="zh-CN"/>
        </w:rPr>
        <w:t>68.88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万元，增长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45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 xml:space="preserve">  %。主要原因：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增加养老保险缴费</w:t>
      </w:r>
    </w:p>
    <w:p w14:paraId="058BF3BB">
      <w:pPr>
        <w:spacing w:before="247" w:line="356" w:lineRule="auto"/>
        <w:ind w:right="12" w:firstLine="636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（二） 一般公共预算财政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拨款支出决算结构情况</w:t>
      </w:r>
    </w:p>
    <w:p w14:paraId="7D8F3DA6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2023 年度一般公共预算财政拨款支出 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219.11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万元，主要用于 以下方面：一般公共服务支出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3.86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万元，占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1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%；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科学技术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支出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176.22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 占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80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%；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社会保障和就业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支出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22.78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 万元，占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10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%；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卫生健康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支出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6.37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万元，占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2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%；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住房保障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支 出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9.88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万元，占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7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%；</w:t>
      </w:r>
    </w:p>
    <w:p w14:paraId="36336FDE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（三） 一般公共预算财政拨款支出决算具体情况</w:t>
      </w:r>
    </w:p>
    <w:p w14:paraId="111CD1AF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2023 年度一般公共预算财政拨款支出年初预算为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219.11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 万 元，支出决算为 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219.11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万元，完成年初预算的 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%。其中：</w:t>
      </w:r>
    </w:p>
    <w:p w14:paraId="38A8347E">
      <w:pPr>
        <w:numPr>
          <w:ilvl w:val="0"/>
          <w:numId w:val="3"/>
        </w:num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一般公共服务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 。 年初预算为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3.86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 支出决算为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3.86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 完成年初预算 的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 %。决算数大（小）于预算数的主要原因是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严格按预算执行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。</w:t>
      </w:r>
    </w:p>
    <w:p w14:paraId="21C014F7">
      <w:pPr>
        <w:numPr>
          <w:ilvl w:val="0"/>
          <w:numId w:val="3"/>
        </w:num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科学技术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支出  。 年初预算为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176.22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 万元， 支出决算为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176.22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万元，完成年初预算的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 %。</w:t>
      </w:r>
    </w:p>
    <w:p w14:paraId="10AAD5A0">
      <w:pPr>
        <w:spacing w:before="247" w:line="356" w:lineRule="auto"/>
        <w:ind w:left="54" w:right="12" w:firstLine="652" w:firstLineChars="200"/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</w:pPr>
      <w:r>
        <w:rPr>
          <w:rFonts w:hint="eastAsia" w:ascii="Times New Roman" w:hAnsi="Times New Roman" w:eastAsia="仿宋_GB2312" w:cs="Times New Roman"/>
          <w:spacing w:val="8"/>
          <w:sz w:val="31"/>
          <w:szCs w:val="31"/>
        </w:rPr>
        <w:t>3.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社会保障和就业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</w:rPr>
        <w:t xml:space="preserve"> 。年初预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算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</w:rPr>
        <w:t>为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22.78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</w:rPr>
        <w:t xml:space="preserve">  万元， 支出决算为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22.78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</w:rPr>
        <w:t xml:space="preserve">  万元，完成年初预算的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100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</w:rPr>
        <w:t xml:space="preserve">  %。</w:t>
      </w:r>
    </w:p>
    <w:p w14:paraId="780836F5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  <w:lang w:val="en-US" w:eastAsia="zh-CN"/>
        </w:rPr>
      </w:pPr>
      <w:r>
        <w:rPr>
          <w:rFonts w:hint="eastAsia" w:ascii="Times New Roman" w:hAnsi="Times New Roman" w:eastAsia="仿宋_GB2312" w:cs="Times New Roman"/>
          <w:spacing w:val="8"/>
          <w:sz w:val="31"/>
          <w:szCs w:val="31"/>
        </w:rPr>
        <w:t>4.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卫生健康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</w:rPr>
        <w:t>支出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 xml:space="preserve">. 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</w:rPr>
        <w:t>年初预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算6.37万元，完成年预算的100%.</w:t>
      </w:r>
    </w:p>
    <w:p w14:paraId="4DAD9471">
      <w:pPr>
        <w:spacing w:before="247" w:line="356" w:lineRule="auto"/>
        <w:ind w:left="54" w:right="12" w:firstLine="652" w:firstLineChars="200"/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</w:pP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 xml:space="preserve">5. 住房保障支出。年预算为9.88万元， 完成年预算的100%. </w:t>
      </w:r>
    </w:p>
    <w:p w14:paraId="445B551F">
      <w:pPr>
        <w:spacing w:before="247" w:line="356" w:lineRule="auto"/>
        <w:ind w:left="54" w:right="12" w:firstLine="652" w:firstLineChars="200"/>
        <w:rPr>
          <w:rFonts w:hint="eastAsia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eastAsia" w:ascii="Times New Roman" w:hAnsi="Times New Roman" w:eastAsia="仿宋_GB2312" w:cs="Times New Roman"/>
          <w:spacing w:val="8"/>
          <w:sz w:val="31"/>
          <w:szCs w:val="31"/>
        </w:rPr>
        <w:t>六、一般公共预算财政拨款基本支出决算情况说明</w:t>
      </w:r>
    </w:p>
    <w:p w14:paraId="763CFFBF">
      <w:pPr>
        <w:spacing w:before="247" w:line="356" w:lineRule="auto"/>
        <w:ind w:left="54" w:right="12" w:firstLine="652" w:firstLineChars="200"/>
        <w:rPr>
          <w:rFonts w:hint="eastAsia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eastAsia" w:ascii="Times New Roman" w:hAnsi="Times New Roman" w:eastAsia="仿宋_GB2312" w:cs="Times New Roman"/>
          <w:spacing w:val="8"/>
          <w:sz w:val="31"/>
          <w:szCs w:val="31"/>
        </w:rPr>
        <w:t xml:space="preserve">2023年度一般公共预算财政拨款基本支出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219.11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</w:rPr>
        <w:t>万元，其 中：</w:t>
      </w:r>
    </w:p>
    <w:p w14:paraId="4011B7B8">
      <w:pPr>
        <w:spacing w:before="247" w:line="356" w:lineRule="auto"/>
        <w:ind w:left="54" w:right="12" w:firstLine="652" w:firstLineChars="200"/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</w:pP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人员经费 148.52万元 ，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</w:rPr>
        <w:t>主要包括：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基本工资、津贴补贴、奖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金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、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绩效工资、机关事业单位基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本养老保险缴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费、职业年金缴费、职工基本医疗保险缴费、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公务员医疗补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助缴费、其他社会保障缴费、住房公积金、</w:t>
      </w:r>
      <w:r>
        <w:rPr>
          <w:rFonts w:hint="eastAsia" w:ascii="Times New Roman" w:hAnsi="Times New Roman" w:eastAsia="仿宋_GB2312" w:cs="Times New Roman"/>
          <w:spacing w:val="5"/>
          <w:sz w:val="31"/>
          <w:szCs w:val="31"/>
          <w:lang w:val="en-US" w:eastAsia="zh-CN"/>
        </w:rPr>
        <w:t>抚恤费。</w:t>
      </w:r>
    </w:p>
    <w:p w14:paraId="5F883502">
      <w:pPr>
        <w:spacing w:before="247" w:line="356" w:lineRule="auto"/>
        <w:ind w:left="54" w:right="12" w:firstLine="652" w:firstLineChars="200"/>
        <w:rPr>
          <w:rFonts w:hint="eastAsia" w:ascii="Times New Roman" w:hAnsi="Times New Roman" w:eastAsia="仿宋_GB2312" w:cs="Times New Roman"/>
          <w:spacing w:val="8"/>
          <w:sz w:val="31"/>
          <w:szCs w:val="31"/>
          <w:lang w:eastAsia="zh-CN"/>
        </w:rPr>
      </w:pPr>
      <w:r>
        <w:rPr>
          <w:rFonts w:hint="eastAsia" w:ascii="Times New Roman" w:hAnsi="Times New Roman" w:eastAsia="仿宋_GB2312" w:cs="Times New Roman"/>
          <w:spacing w:val="8"/>
          <w:sz w:val="31"/>
          <w:szCs w:val="31"/>
        </w:rPr>
        <w:t xml:space="preserve">公用经费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70.59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</w:rPr>
        <w:t xml:space="preserve"> 万元，主要包括：办公费、差旅 费、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劳务费、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</w:rPr>
        <w:t>工会经费、其他交通费用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eastAsia="zh-CN"/>
        </w:rPr>
        <w:t>。</w:t>
      </w:r>
    </w:p>
    <w:p w14:paraId="538DADF5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七、政府性基金预算财政拨款收入支出决算情况说明</w:t>
      </w:r>
    </w:p>
    <w:p w14:paraId="1EE54311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2023 年度政府性基金预算财政拨款年初结转和结余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万元；本年收入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万元，比上年增加（减少）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万元，增长（ 下  降）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%，主要是 ……；本年支出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万元， 年末结转和结余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万元。支出具体情况如下：</w:t>
      </w:r>
    </w:p>
    <w:p w14:paraId="2FD61D04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1. XX（类） XX（款） XX（项）。政府性基金财政拨款支出为  万元，主要用于……。完成年初预算的  %,决算数大（小）于预算数的主要原因是 … …。</w:t>
      </w:r>
    </w:p>
    <w:p w14:paraId="0871E4B0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2. XX（类） XX（款） XX（项）。政府性基金财政拨款支出为  万元，主要用于……。完成年初预算的  %,决算数大（小）于预算数的主要原因是 … …。</w:t>
      </w:r>
    </w:p>
    <w:p w14:paraId="00B22953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3. XX（类） XX（款） XX（项）。政府性基金财政拨款支出为  万元，主要用于……。完成年初预算的  %,决算数大（小）于预算数的主要原因是 … …。</w:t>
      </w:r>
    </w:p>
    <w:p w14:paraId="2F262666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4. ……</w:t>
      </w:r>
    </w:p>
    <w:p w14:paraId="51A93968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八、国有资本经营预算财政拨款支出决算情况说明</w:t>
      </w:r>
    </w:p>
    <w:p w14:paraId="3F26B63F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2023 年度国有资本经营预算年初结转和结余  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万元；</w:t>
      </w:r>
    </w:p>
    <w:p w14:paraId="00944993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本年收入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万元，比上年增加（减少）万元，增长（下降）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%， 主要是 …… ；本年支出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 比上年增加（减少）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  增长（ 下降）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%，主要是 …… ；年末结转和结余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万元。支 出具体情况如下：</w:t>
      </w:r>
    </w:p>
    <w:p w14:paraId="69083B90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1. XX（类） XX（款） XX（项）。国有资本经营预算财 政拨款支出为  万元，主要用于……。完成年初预算的  %, 决算数大（小）于预算数的主要原因是 … …。</w:t>
      </w:r>
    </w:p>
    <w:p w14:paraId="7E987AE0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2. XX（类） XX（款） XX（项）。国有资本经营预算财 政拨款支出为  万元，主要用于……。完成年初预算的  %, 决算数大（小）于预算数的主要原因是 … …。</w:t>
      </w:r>
    </w:p>
    <w:p w14:paraId="3BFE9880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3. XX（类） XX（款） XX（项）。国有资本经营预算财 政拨款支出为  万元，主要用于……。完成年初预算的  %, 决算数大（小）于预算数的主要原因是 … …。</w:t>
      </w:r>
    </w:p>
    <w:p w14:paraId="72DBDE14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4. ……</w:t>
      </w:r>
    </w:p>
    <w:p w14:paraId="504A1656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九、财政拨款“三公”经费支出决算情况说明</w:t>
      </w:r>
    </w:p>
    <w:p w14:paraId="0A8436C7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（ 一）“三公”经费财政拨款支出决算总体情况说明</w:t>
      </w:r>
    </w:p>
    <w:p w14:paraId="67B9A6F6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2023 年度“三公”经费财政拨款支出预算为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 万元，支出决算为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eastAsia="zh-CN"/>
        </w:rPr>
        <w:t>　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万元，完成预算的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%；较 2022 年度增加（减少）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万元，增长（下降）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%，主要原因是 … …。决算数大（小）  于预算数的主要原因 … …。</w:t>
      </w:r>
    </w:p>
    <w:p w14:paraId="3F856B08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（二）“三公”经费财政拨款支出决算具体情况说明</w:t>
      </w:r>
    </w:p>
    <w:p w14:paraId="08323994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1.因公出国（境）费预算为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万元,支出决算为 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万元， 完成预算的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 %；支出决算较 2022 年度增加（减少）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万元， 增长（下降）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%，主要原因……。决算数大（小）于预算数 的主要原因 ……。全年共有因公出国（境） 团组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个， 因公 出国（境） 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人次。主要包括 … …。</w:t>
      </w:r>
    </w:p>
    <w:p w14:paraId="62FE4920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2.公务用车购置及运行费预算为 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万元，支出决算为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万元，完成预算的 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%；较 2022 年度增加（减少）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 增长（下降）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%，主要原因……。决算数大（小）于预算数 的主要原因 … …。其中：公务用车购置费支出 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万元。主要是 … …；截至 2023年 12 月 31 日，公务用车保有量为  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辆,公务用车购置数为 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辆。</w:t>
      </w:r>
    </w:p>
    <w:p w14:paraId="49A6B531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公务用车运行维护费支出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  万元，主要是 … …。</w:t>
      </w:r>
    </w:p>
    <w:p w14:paraId="0E73FD38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sectPr>
          <w:footerReference r:id="rId13" w:type="default"/>
          <w:pgSz w:w="11907" w:h="16839"/>
          <w:pgMar w:top="1431" w:right="1642" w:bottom="1153" w:left="1785" w:header="0" w:footer="965" w:gutter="0"/>
          <w:cols w:space="720" w:num="1"/>
        </w:sectPr>
      </w:pPr>
    </w:p>
    <w:p w14:paraId="74B2D04B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公务接待费预算为 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万元，支出决算为 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万元，完成预 算的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 %；较 2022 年度增加（减少）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  万元，增长（下降） %， 主要原因是 … …。决算数大（小） 于预算数的主要原因是 … …。其中：外事接待费支出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万元。主要用于……。全年共接待外 事来访团组数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 个、来访外宾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  人次（不包括陪同人员）。 来访外宾主要包括 … …。</w:t>
      </w:r>
    </w:p>
    <w:p w14:paraId="31ECCE9F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其他国内公务接待支出 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万元。主要用于……。全年共 接待国内来访团组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个、来宾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人次（不包括陪同人 员） 。</w:t>
      </w:r>
    </w:p>
    <w:p w14:paraId="7B46E57E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十、关于 2023 年度绩效评价情况说明</w:t>
      </w:r>
    </w:p>
    <w:p w14:paraId="54B405C8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（ 一）绩效评价工作开展情况。绩效评价工作开展情况 说明为：根据预算绩效管理要求，本部门组织对 2023 年度 一般公共预算项目支出全面开展绩效自评，其中，一级项目 XX 个，二级项目 XX 个，共涉及资金 XX 万元， 占一般公共 预算项目支出总额的 XX%。组织对 2023 年度 XXX、XXX 等 XX 个政府性基金预算项目开展绩效自评，共涉及资金 XX 万元， 占政府性基金预算项目支出总额的 XX%。组织对 2023 年度 XXX、XXX 等 XX 个国有资本经营预算项目开展绩效自评，共涉及资金XX 万元，占国有资本经营预算项目支出总额的XX%。</w:t>
      </w:r>
    </w:p>
    <w:p w14:paraId="2800A166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组织对“XXX”“XXX”等 XX 个项目开展了部门绩效评 价，涉及一般公共预算支出 XX 万元，政府性基金预算支出 XX 万元，国有资本经营预算支出 XX 万元。从评价情况来 看， ……</w:t>
      </w:r>
    </w:p>
    <w:p w14:paraId="77CD2B4E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组织对本部门开展整体支出绩效评价，涉及一般公共预 算支出 XX 万元，政府性基金预算支出 XX 万元。从评价情况 来看， … …</w:t>
      </w:r>
    </w:p>
    <w:p w14:paraId="6C069628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（二） 项目绩效自评结果（如有）。除涉密敏感内容外， 省级部门原则上应予以公开。按照如下格式说明 :</w:t>
      </w:r>
    </w:p>
    <w:p w14:paraId="054B8D48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XXX 项目绩效自评情况：根据年初设定的绩效目标，项 目绩效自评得分为 XX 分。项目全年预算数为 XX 万元，执行 数为 XX 万元，完成预算的XX%。项目绩效目标完成情况：一 是……；二是 … … 。发现的主要问题及原因：一是 … …；二 是……。下一步改进措施：一是……；二是 … …。</w:t>
      </w:r>
    </w:p>
    <w:p w14:paraId="0018175B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XXX 项目绩效自评情况： … …。</w:t>
      </w:r>
    </w:p>
    <w:p w14:paraId="16E09D31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（三） 部门评价结果（如有）。除涉密敏感内容外，省 级部门原则上应将部门评价结果以报告的形式予以公开。报 告框架可参考《项目支出绩效评价管理办法》（吉财绩〔2022〕 711 号）中的《项目支出绩效评价报告（参考提纲）》。</w:t>
      </w:r>
    </w:p>
    <w:p w14:paraId="528F5194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sectPr>
          <w:footerReference r:id="rId14" w:type="default"/>
          <w:pgSz w:w="11907" w:h="16839"/>
          <w:pgMar w:top="1431" w:right="1694" w:bottom="1153" w:left="1785" w:header="0" w:footer="965" w:gutter="0"/>
          <w:cols w:space="720" w:num="1"/>
        </w:sectPr>
      </w:pPr>
    </w:p>
    <w:p w14:paraId="48AD17C6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十一、其他重要事项情况说明</w:t>
      </w:r>
    </w:p>
    <w:p w14:paraId="685EF6F7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（ 一）机关运行经费执行情况说明</w:t>
      </w:r>
    </w:p>
    <w:p w14:paraId="2F210C9B">
      <w:pPr>
        <w:spacing w:before="251" w:line="357" w:lineRule="auto"/>
        <w:ind w:left="19" w:right="170" w:firstLine="65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2023年度机关运行经费支出  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6.83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万元，较2022年度</w:t>
      </w: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（减少</w:t>
      </w:r>
      <w:r>
        <w:rPr>
          <w:rFonts w:hint="eastAsia" w:ascii="Times New Roman" w:hAnsi="Times New Roman" w:eastAsia="仿宋_GB2312" w:cs="Times New Roman"/>
          <w:spacing w:val="-4"/>
          <w:sz w:val="31"/>
          <w:szCs w:val="31"/>
          <w:lang w:val="en-US" w:eastAsia="zh-CN"/>
        </w:rPr>
        <w:t>0.53</w:t>
      </w: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万元，降低</w:t>
      </w:r>
      <w:r>
        <w:rPr>
          <w:rFonts w:hint="eastAsia" w:ascii="Times New Roman" w:hAnsi="Times New Roman" w:eastAsia="仿宋_GB2312" w:cs="Times New Roman"/>
          <w:spacing w:val="-4"/>
          <w:sz w:val="31"/>
          <w:szCs w:val="31"/>
          <w:lang w:val="en-US" w:eastAsia="zh-CN"/>
        </w:rPr>
        <w:t>7.8</w:t>
      </w: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%，主要是</w:t>
      </w:r>
      <w:r>
        <w:rPr>
          <w:rFonts w:hint="eastAsia" w:ascii="Times New Roman" w:hAnsi="Times New Roman" w:eastAsia="仿宋_GB2312" w:cs="Times New Roman"/>
          <w:spacing w:val="-4"/>
          <w:sz w:val="31"/>
          <w:szCs w:val="31"/>
          <w:lang w:val="en-US" w:eastAsia="zh-CN"/>
        </w:rPr>
        <w:t>机关运行需求减少</w:t>
      </w: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。</w:t>
      </w:r>
    </w:p>
    <w:p w14:paraId="4C040826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（二）政府采购支出情况说明</w:t>
      </w:r>
    </w:p>
    <w:p w14:paraId="2DE24EFB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2023 年度政府采购支出总额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万元，其中：政府采购货 物支出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万元、政府采购工程支出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万元、政府采购服务支 出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万元。授予中小企业合同金额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 占政府采购支出 总额的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%，其中：授予小微企业合同金额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 占授予中 小企业合同金额的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%；货物采购授予中小企业合同金额占货 物支出金额的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%，工程采购授予中小企业合同金额占工程支 出金额的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%，服务采购授予中小企业合同金额占服务支出金 额的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%。</w:t>
      </w:r>
    </w:p>
    <w:p w14:paraId="241438D7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（三）国有资产占用情况说明</w:t>
      </w:r>
    </w:p>
    <w:p w14:paraId="39CCA060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截至 2023 年 12 月 31 日，XXXX（部门标准名称）共有 车辆  辆，其中，副部（省）级及以上领导用车 XX 辆、主 要负责人用车 XX 辆、机要通信用车XX 辆、应急保障用车 XX 辆、执法执勤用车 XX 辆、特种专业技术用车XX 辆、离退休 干部用车 XX 辆、其他用车 XX 辆，其他用车主要是……；单位价值 100 万元（含）以上设备（不含车辆）XX 台（套）。</w:t>
      </w:r>
    </w:p>
    <w:p w14:paraId="58B9DB04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sectPr>
          <w:footerReference r:id="rId15" w:type="default"/>
          <w:pgSz w:w="11907" w:h="16839"/>
          <w:pgMar w:top="1431" w:right="1774" w:bottom="1153" w:left="1785" w:header="0" w:footer="965" w:gutter="0"/>
          <w:cols w:space="720" w:num="1"/>
        </w:sectPr>
      </w:pPr>
    </w:p>
    <w:p w14:paraId="00A71985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第四部分   名词解释</w:t>
      </w:r>
    </w:p>
    <w:p w14:paraId="2C7C9FA4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一、财政拨款收入：指单位从同级财政部门取得的财政 预算资金。</w:t>
      </w:r>
    </w:p>
    <w:p w14:paraId="36A1FAD6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二、上级补助收入：指从主管部门和上级单位取得的非 财政补助收入。</w:t>
      </w:r>
    </w:p>
    <w:p w14:paraId="33D50118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三、事业收入：指事业单位开展专业业务活动及辅助活 动取得的收入。</w:t>
      </w:r>
    </w:p>
    <w:p w14:paraId="3DC72D4B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四、经营收入：指事业单位在专业业务活动及其辅助活 动之外开展非独立核算经营活动取得的收入。</w:t>
      </w:r>
    </w:p>
    <w:p w14:paraId="69A36075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五、附属单位上缴收入：指事业单位附属独立核算单位 按照有关规定上缴的收入。</w:t>
      </w:r>
    </w:p>
    <w:p w14:paraId="051F9D65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六、其他收入：指除上述收入以外的各项收入。包括未 纳入财政预算或财政专户管理的投资收益、银行存款利息收 入、租金收入、捐赠收入，现金盘盈收入、存货盘盈收入、 收回已核销应收及预付款项、无法偿付的应付及预收款项， 从省财政以外的同级单位取得的经费、从非省财政取得的经 费，以及行政单位收到的财政专户管理资金等。</w:t>
      </w:r>
    </w:p>
    <w:p w14:paraId="28F77696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七、使用非财政拨款结余（含专用结余）：指事业单位 按照预算管理要求使用非财政拨款结余弥补收支差额的金 额，以及使用专用结余安排支出的金额。</w:t>
      </w:r>
    </w:p>
    <w:p w14:paraId="58EB5646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八、年初结转和结余：指单位以前年度尚未完成、结转到本年按有关规定用途继续使用的资金，或项目已完成等产 生的结余资金。</w:t>
      </w:r>
    </w:p>
    <w:p w14:paraId="0DF65C76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九、结余分配：指事业单位按照会计制度规定缴纳的所 得税、提取的专用结余以及转入非财政拨款结余的金额等。</w:t>
      </w:r>
    </w:p>
    <w:p w14:paraId="7B0774DD">
      <w:pPr>
        <w:spacing w:before="247" w:line="356" w:lineRule="auto"/>
        <w:ind w:left="54" w:right="12" w:firstLine="652" w:firstLineChars="200"/>
        <w:rPr>
          <w:rFonts w:hint="eastAsia" w:ascii="Times New Roman" w:hAnsi="Times New Roman" w:eastAsia="仿宋_GB2312" w:cs="Times New Roman"/>
          <w:spacing w:val="8"/>
          <w:sz w:val="31"/>
          <w:szCs w:val="31"/>
          <w:lang w:eastAsia="zh-CN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十、年末结转和结余：指单位按有关规定结转到下年或 以后年度继续使用的资金，或项目已完成等产生的结余资金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eastAsia="zh-CN"/>
        </w:rPr>
        <w:t>。</w:t>
      </w:r>
    </w:p>
    <w:p w14:paraId="06202E3E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十一、基本支出：指为保障机构正常运转、完成日常工 作任务而发生的人员支出和公用支出。</w:t>
      </w:r>
    </w:p>
    <w:p w14:paraId="1E7B864B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十二、项目支出：指在基本支出之外为完成特定行政任 务或事业发展目标所发生的支出。</w:t>
      </w:r>
    </w:p>
    <w:p w14:paraId="42D1E76B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十三、经营支出：指事业单位在专业业务活动及其辅助 活动之外开展非独立核算经营活动发生的支出。</w:t>
      </w:r>
    </w:p>
    <w:p w14:paraId="3E6A2A96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十四、上缴上级支出：指事业单位按照有关规定上缴上 级单位的支出。</w:t>
      </w:r>
    </w:p>
    <w:p w14:paraId="43F0EF87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十五、对附属单位补助支出：指事业单位用财政补助收 入之外的收入对附属单位补助发生的支出。</w:t>
      </w:r>
    </w:p>
    <w:p w14:paraId="17AECE6B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十六、“三公”经费：纳入省级财政预决算管理的“三  公”经费，是指省级部门用财政拨款安排的因公出国（境） 费、公务用车购置及运行维护费和公务接待费。是党政机关  维持运转或完成特定工作任务所开支的相关支出，是政府行  政开支的一部分。其中， 因公出国（境）费反映公务出国（境）的国际旅费、国外城市间交通费、住宿费、伙食费、培训费、 公杂费等支出；公务用车购置及运行费反映单位公务用车车 辆购置支出（含车辆购置税）及燃料费、维修费、过桥过路 费、保险费、安全奖励费等支出；公务接待费反映单位按规 定开支的各类公务接待（含外宾接待）支出。</w:t>
      </w:r>
    </w:p>
    <w:p w14:paraId="5FD4267E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十七、机关运行经费：指为保障行政单位（包括参照公 务员法管理的事业单位）运行用于购买货物和服务的各项资 金，包括办公费、 印刷费、邮电费、差旅费、会议费、福利 费、日常维修费、专用材料及一般设备购置费、办公用房水 电费、办公用房取暖费、办公用房物业管理费、公务用车运 行维护费以及其他费用。</w:t>
      </w:r>
    </w:p>
    <w:p w14:paraId="57A1601D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十八、******（对部门使用的所有“项”级政府收支分 类科目，参照《2023年政府收支分类科目》中的科目说明和 中央部门决算公开内容进行说明）：</w:t>
      </w:r>
    </w:p>
    <w:p w14:paraId="79817DE6">
      <w:pPr>
        <w:spacing w:before="247" w:line="356" w:lineRule="auto"/>
        <w:ind w:left="54" w:right="12" w:firstLine="652" w:firstLineChars="200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十九、 … …（同上）</w:t>
      </w:r>
    </w:p>
    <w:sectPr>
      <w:footerReference r:id="rId16" w:type="default"/>
      <w:pgSz w:w="11907" w:h="16839"/>
      <w:pgMar w:top="1431" w:right="1705" w:bottom="1153" w:left="1785" w:header="0" w:footer="965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1097F3D">
    <w:pPr>
      <w:spacing w:line="177" w:lineRule="auto"/>
      <w:ind w:left="413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z w:val="21"/>
        <w:szCs w:val="21"/>
      </w:rPr>
      <w:t>1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E7EB65E">
    <w:pPr>
      <w:spacing w:line="177" w:lineRule="auto"/>
      <w:ind w:left="411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z w:val="21"/>
        <w:szCs w:val="21"/>
      </w:rPr>
      <w:t>2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2B2EE7A">
    <w:pPr>
      <w:spacing w:line="176" w:lineRule="auto"/>
      <w:ind w:left="4122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z w:val="21"/>
        <w:szCs w:val="21"/>
      </w:rPr>
      <w:t>3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37BCC88">
    <w:pPr>
      <w:spacing w:line="176" w:lineRule="auto"/>
      <w:ind w:left="4123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z w:val="21"/>
        <w:szCs w:val="21"/>
      </w:rPr>
      <w:t>6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B85CAEE">
    <w:pPr>
      <w:spacing w:line="176" w:lineRule="auto"/>
      <w:ind w:left="4127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z w:val="21"/>
        <w:szCs w:val="21"/>
      </w:rPr>
      <w:t>8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653E7BB">
    <w:pPr>
      <w:spacing w:line="177" w:lineRule="auto"/>
      <w:ind w:left="408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6"/>
        <w:sz w:val="21"/>
        <w:szCs w:val="21"/>
      </w:rPr>
      <w:t>12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D350960">
    <w:pPr>
      <w:spacing w:line="176" w:lineRule="auto"/>
      <w:ind w:left="408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6"/>
        <w:sz w:val="21"/>
        <w:szCs w:val="21"/>
      </w:rPr>
      <w:t>13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462686E">
    <w:pPr>
      <w:spacing w:line="177" w:lineRule="auto"/>
      <w:ind w:left="408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6"/>
        <w:sz w:val="21"/>
        <w:szCs w:val="21"/>
      </w:rPr>
      <w:t>14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AD95A77">
    <w:pPr>
      <w:spacing w:line="177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21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3DD9E25">
    <w:pPr>
      <w:spacing w:line="176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23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BC86608">
    <w:pPr>
      <w:spacing w:line="177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24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3465E29">
    <w:pPr>
      <w:spacing w:line="176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27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F46E023"/>
    <w:multiLevelType w:val="singleLevel"/>
    <w:tmpl w:val="DF46E023"/>
    <w:lvl w:ilvl="0" w:tentative="0">
      <w:start w:val="5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F1A364F3"/>
    <w:multiLevelType w:val="singleLevel"/>
    <w:tmpl w:val="F1A364F3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5ACF9689"/>
    <w:multiLevelType w:val="singleLevel"/>
    <w:tmpl w:val="5ACF968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documentProtection w:enforcement="0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4"/>
  </w:compat>
  <w:docVars>
    <w:docVar w:name="commondata" w:val="eyJoZGlkIjoiOGJkM2RkYTAzZDNmMDhjYzU4MTM0NDQ3OGE2NzRhYzUifQ=="/>
  </w:docVars>
  <w:rsids>
    <w:rsidRoot w:val="00000000"/>
    <w:rsid w:val="059F1656"/>
    <w:rsid w:val="061307D8"/>
    <w:rsid w:val="070960E3"/>
    <w:rsid w:val="161A0B74"/>
    <w:rsid w:val="16E22E2F"/>
    <w:rsid w:val="1C84339D"/>
    <w:rsid w:val="1D747569"/>
    <w:rsid w:val="2324183F"/>
    <w:rsid w:val="23566F63"/>
    <w:rsid w:val="255D282B"/>
    <w:rsid w:val="2A2B5C3E"/>
    <w:rsid w:val="2BD65B8A"/>
    <w:rsid w:val="31FB0FB2"/>
    <w:rsid w:val="378E2F99"/>
    <w:rsid w:val="3AC0143A"/>
    <w:rsid w:val="3ACB5E23"/>
    <w:rsid w:val="47064679"/>
    <w:rsid w:val="51302AEC"/>
    <w:rsid w:val="52857FBC"/>
    <w:rsid w:val="5A1371A4"/>
    <w:rsid w:val="5AF439C3"/>
    <w:rsid w:val="5F296CFF"/>
    <w:rsid w:val="61C64CD9"/>
    <w:rsid w:val="6B261E47"/>
    <w:rsid w:val="6C8A00AE"/>
    <w:rsid w:val="6E274302"/>
    <w:rsid w:val="773834F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5">
    <w:name w:val="Default Paragraph Font"/>
    <w:link w:val="6"/>
    <w:qFormat/>
    <w:uiPriority w:val="0"/>
    <w:rPr>
      <w:rFonts w:eastAsia="宋体"/>
      <w:sz w:val="21"/>
      <w:szCs w:val="20"/>
    </w:rPr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customStyle="1" w:styleId="6">
    <w:name w:val=" Char"/>
    <w:basedOn w:val="1"/>
    <w:link w:val="5"/>
    <w:qFormat/>
    <w:uiPriority w:val="0"/>
    <w:pPr>
      <w:widowControl/>
      <w:spacing w:after="160" w:line="240" w:lineRule="exact"/>
      <w:jc w:val="left"/>
    </w:pPr>
    <w:rPr>
      <w:rFonts w:eastAsia="宋体"/>
      <w:sz w:val="21"/>
      <w:szCs w:val="20"/>
    </w:rPr>
  </w:style>
  <w:style w:type="character" w:styleId="7">
    <w:name w:val="page number"/>
    <w:basedOn w:val="5"/>
    <w:qFormat/>
    <w:uiPriority w:val="0"/>
  </w:style>
  <w:style w:type="table" w:customStyle="1" w:styleId="8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5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9" Type="http://schemas.openxmlformats.org/officeDocument/2006/relationships/fontTable" Target="fontTable.xml"/><Relationship Id="rId28" Type="http://schemas.openxmlformats.org/officeDocument/2006/relationships/numbering" Target="numbering.xml"/><Relationship Id="rId27" Type="http://schemas.openxmlformats.org/officeDocument/2006/relationships/image" Target="media/image10.jpeg"/><Relationship Id="rId26" Type="http://schemas.openxmlformats.org/officeDocument/2006/relationships/image" Target="media/image9.jpeg"/><Relationship Id="rId25" Type="http://schemas.openxmlformats.org/officeDocument/2006/relationships/image" Target="media/image8.jpeg"/><Relationship Id="rId24" Type="http://schemas.openxmlformats.org/officeDocument/2006/relationships/image" Target="media/image7.jpeg"/><Relationship Id="rId23" Type="http://schemas.openxmlformats.org/officeDocument/2006/relationships/image" Target="media/image6.jpeg"/><Relationship Id="rId22" Type="http://schemas.openxmlformats.org/officeDocument/2006/relationships/image" Target="media/image5.jpeg"/><Relationship Id="rId21" Type="http://schemas.openxmlformats.org/officeDocument/2006/relationships/image" Target="media/image4.jpeg"/><Relationship Id="rId20" Type="http://schemas.openxmlformats.org/officeDocument/2006/relationships/image" Target="media/image3.jpeg"/><Relationship Id="rId2" Type="http://schemas.openxmlformats.org/officeDocument/2006/relationships/settings" Target="settings.xml"/><Relationship Id="rId19" Type="http://schemas.openxmlformats.org/officeDocument/2006/relationships/image" Target="media/image2.jpeg"/><Relationship Id="rId18" Type="http://schemas.openxmlformats.org/officeDocument/2006/relationships/image" Target="media/image1.jpeg"/><Relationship Id="rId17" Type="http://schemas.openxmlformats.org/officeDocument/2006/relationships/theme" Target="theme/theme1.xml"/><Relationship Id="rId16" Type="http://schemas.openxmlformats.org/officeDocument/2006/relationships/footer" Target="footer12.xml"/><Relationship Id="rId15" Type="http://schemas.openxmlformats.org/officeDocument/2006/relationships/footer" Target="footer11.xml"/><Relationship Id="rId14" Type="http://schemas.openxmlformats.org/officeDocument/2006/relationships/footer" Target="footer10.xml"/><Relationship Id="rId13" Type="http://schemas.openxmlformats.org/officeDocument/2006/relationships/footer" Target="footer9.xml"/><Relationship Id="rId12" Type="http://schemas.openxmlformats.org/officeDocument/2006/relationships/footer" Target="footer8.xml"/><Relationship Id="rId11" Type="http://schemas.openxmlformats.org/officeDocument/2006/relationships/footer" Target="footer7.xml"/><Relationship Id="rId10" Type="http://schemas.openxmlformats.org/officeDocument/2006/relationships/footer" Target="footer6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23</Pages>
  <Words>5535</Words>
  <Characters>5948</Characters>
  <TotalTime>8</TotalTime>
  <ScaleCrop>false</ScaleCrop>
  <LinksUpToDate>false</LinksUpToDate>
  <CharactersWithSpaces>6528</CharactersWithSpaces>
  <Application>WPS Office_12.1.0.18276_F1E327BC-269C-435d-A152-05C5408002CA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2024-08-07T08:54:00Z</dcterms:created>
  <dc:creator>王志强</dc:creator>
  <cp:lastModifiedBy>水晶</cp:lastModifiedBy>
  <cp:lastPrinted>2024-11-01T01:20:11Z</cp:lastPrinted>
  <dcterms:modified xsi:type="dcterms:W3CDTF">2024-11-01T01:22:40Z</dcterms:modified>
  <dc:title>2015年度部门决算公开模板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2024-08-26T15:58:15Z</vt:filetime>
  </property>
  <property fmtid="{D5CDD505-2E9C-101B-9397-08002B2CF9AE}" pid="4" name="KSOProductBuildVer">
    <vt:lpwstr>2052-12.1.0.18276</vt:lpwstr>
  </property>
  <property fmtid="{D5CDD505-2E9C-101B-9397-08002B2CF9AE}" pid="5" name="ICV">
    <vt:lpwstr>4BA3362C1A98485CB36C47576A1DA817_13</vt:lpwstr>
  </property>
</Properties>
</file>