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bookmarkStart w:id="0" w:name="_GoBack"/>
      <w:bookmarkEnd w:id="0"/>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single"/>
        </w:rPr>
      </w:pPr>
      <w:r>
        <w:rPr>
          <w:rFonts w:hint="eastAsia" w:eastAsia="方正小标宋简体"/>
          <w:sz w:val="44"/>
          <w:szCs w:val="44"/>
          <w:u w:val="single"/>
        </w:rPr>
        <w:t>榆树市应急救援中心</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22</w:t>
      </w:r>
      <w:r>
        <w:rPr>
          <w:rFonts w:eastAsia="方正小标宋简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二</w:t>
      </w:r>
      <w:r>
        <w:rPr>
          <w:rFonts w:eastAsia="华文细黑"/>
        </w:rPr>
        <w:t>年</w:t>
      </w:r>
      <w:r>
        <w:rPr>
          <w:rFonts w:hint="eastAsia" w:eastAsia="华文细黑"/>
        </w:rPr>
        <w:t>五</w:t>
      </w:r>
      <w:r>
        <w:rPr>
          <w:rFonts w:eastAsia="华文细黑"/>
        </w:rPr>
        <w:t>月</w:t>
      </w:r>
      <w:r>
        <w:rPr>
          <w:rFonts w:hint="eastAsia" w:eastAsia="华文细黑"/>
        </w:rPr>
        <w:t>二十七</w:t>
      </w:r>
      <w:r>
        <w:rPr>
          <w:rFonts w:eastAsia="华文细黑"/>
        </w:rPr>
        <w:t>日</w:t>
      </w:r>
    </w:p>
    <w:p>
      <w:pPr>
        <w:rPr>
          <w:rFonts w:eastAsia="黑体"/>
        </w:rPr>
      </w:pPr>
    </w:p>
    <w:p>
      <w:pPr>
        <w:ind w:firstLine="640" w:firstLineChars="200"/>
        <w:rPr>
          <w:rFonts w:eastAsia="黑体"/>
        </w:rPr>
      </w:pPr>
    </w:p>
    <w:p>
      <w:pPr>
        <w:ind w:firstLine="640" w:firstLineChars="200"/>
        <w:jc w:val="center"/>
        <w:rPr>
          <w:rFonts w:eastAsia="方正小标宋简体"/>
          <w:sz w:val="44"/>
          <w:szCs w:val="44"/>
        </w:rPr>
      </w:pPr>
      <w:r>
        <w:rPr>
          <w:rFonts w:eastAsia="黑体"/>
        </w:rPr>
        <w:br w:type="page"/>
      </w:r>
      <w:r>
        <w:rPr>
          <w:rFonts w:eastAsia="方正小标宋简体"/>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pPr>
      <w:r>
        <w:t>五、</w:t>
      </w:r>
      <w:r>
        <w:rPr>
          <w:rFonts w:hint="eastAsia"/>
        </w:rPr>
        <w:t>一般公共预算支出表</w:t>
      </w:r>
    </w:p>
    <w:p>
      <w:pPr>
        <w:ind w:left="320" w:leftChars="100" w:firstLine="320" w:firstLineChars="100"/>
      </w:pPr>
      <w:r>
        <w:t>六、</w:t>
      </w:r>
      <w:r>
        <w:rPr>
          <w:rFonts w:hint="eastAsia"/>
        </w:rPr>
        <w:t>一般公共预算基本支出表</w:t>
      </w:r>
    </w:p>
    <w:p>
      <w:pPr>
        <w:ind w:left="320" w:leftChars="100" w:firstLine="320" w:firstLineChars="100"/>
      </w:pPr>
      <w:r>
        <w:t>七、一般公共预算“三公”经费支出表</w:t>
      </w:r>
    </w:p>
    <w:p>
      <w:pPr>
        <w:ind w:left="320" w:leftChars="100" w:firstLine="320" w:firstLineChars="100"/>
      </w:pPr>
      <w:r>
        <w:t>八、政府性基金预算支出表</w:t>
      </w:r>
    </w:p>
    <w:p>
      <w:pPr>
        <w:ind w:left="320" w:leftChars="100" w:firstLine="320" w:firstLineChars="100"/>
      </w:pPr>
      <w:r>
        <w:rPr>
          <w:rFonts w:hint="eastAsia"/>
        </w:rPr>
        <w:t>九、国有资本经营</w:t>
      </w:r>
      <w:r>
        <w:t>预算支出表</w:t>
      </w:r>
    </w:p>
    <w:p>
      <w:pPr>
        <w:ind w:left="320" w:leftChars="100" w:firstLine="320" w:firstLineChars="100"/>
      </w:pPr>
      <w:r>
        <w:rPr>
          <w:rFonts w:hint="eastAsia"/>
        </w:rPr>
        <w:t>十、项目支出表</w:t>
      </w:r>
    </w:p>
    <w:p>
      <w:pPr>
        <w:ind w:left="320" w:leftChars="100" w:firstLine="320" w:firstLineChars="100"/>
      </w:pPr>
      <w:r>
        <w:rPr>
          <w:rFonts w:hint="eastAsia"/>
        </w:rPr>
        <w:t>十一、项目支出绩效目标表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spacing w:after="100" w:afterAutospacing="1"/>
        <w:jc w:val="center"/>
        <w:rPr>
          <w:rFonts w:eastAsia="黑体"/>
        </w:rPr>
      </w:pPr>
      <w:r>
        <w:rPr>
          <w:rFonts w:eastAsia="黑体"/>
        </w:rPr>
        <w:t>第一部分 部门概况</w:t>
      </w:r>
    </w:p>
    <w:p>
      <w:pPr>
        <w:ind w:firstLine="640" w:firstLineChars="200"/>
        <w:rPr>
          <w:rFonts w:hint="eastAsia" w:ascii="仿宋" w:hAnsi="仿宋" w:eastAsia="仿宋"/>
          <w:szCs w:val="32"/>
        </w:rPr>
      </w:pPr>
      <w:r>
        <w:rPr>
          <w:rFonts w:hint="eastAsia" w:ascii="仿宋" w:hAnsi="仿宋" w:eastAsia="仿宋"/>
          <w:szCs w:val="32"/>
        </w:rPr>
        <w:t>中共榆树市委机构编制委员会榆委编字[2019]25号《关于榆树市部分事业单位调整事宜的通知》中明确：榆树市人民政府防汛抗旱指挥部办公室，名称调整为榆树市应急救援中心。隶属关系由榆树市水利局调整为由榆树市应急管理局管理。榆委编字[2019]56号将机构规格待遇调整为副科级，榆委编字[2019]47号核定全额拨款事业编制26名。</w:t>
      </w:r>
    </w:p>
    <w:p>
      <w:pPr>
        <w:ind w:firstLine="640" w:firstLineChars="200"/>
        <w:rPr>
          <w:rFonts w:hint="eastAsia" w:ascii="仿宋" w:hAnsi="仿宋" w:eastAsia="仿宋"/>
          <w:szCs w:val="32"/>
        </w:rPr>
      </w:pPr>
      <w:r>
        <w:rPr>
          <w:rFonts w:hint="eastAsia" w:ascii="仿宋" w:hAnsi="仿宋" w:eastAsia="仿宋"/>
          <w:szCs w:val="32"/>
        </w:rPr>
        <w:t>榆树市机构编制委员会榆编字[2012]316号文件核定榆树市防汛抗旱指挥部办公室主要职责职责：</w:t>
      </w:r>
    </w:p>
    <w:p>
      <w:pPr>
        <w:ind w:firstLine="640" w:firstLineChars="200"/>
        <w:rPr>
          <w:rFonts w:ascii="仿宋" w:hAnsi="仿宋" w:eastAsia="仿宋"/>
          <w:szCs w:val="32"/>
        </w:rPr>
      </w:pPr>
      <w:r>
        <w:rPr>
          <w:rFonts w:ascii="仿宋" w:hAnsi="仿宋" w:eastAsia="仿宋"/>
          <w:szCs w:val="32"/>
        </w:rPr>
        <w:t>一、主要职能</w:t>
      </w:r>
    </w:p>
    <w:p>
      <w:pPr>
        <w:rPr>
          <w:rFonts w:hint="eastAsia" w:ascii="仿宋" w:hAnsi="仿宋" w:eastAsia="仿宋"/>
        </w:rPr>
      </w:pPr>
      <w:r>
        <w:rPr>
          <w:rFonts w:hint="eastAsia" w:ascii="仿宋" w:hAnsi="仿宋" w:eastAsia="仿宋"/>
        </w:rPr>
        <w:t xml:space="preserve">    (一)贯彻执行《中华人民共和国防洪法》、《中华人民共和国汛条例》及有关法规，组织拟订实施办法并监督检查。</w:t>
      </w:r>
    </w:p>
    <w:p>
      <w:pPr>
        <w:rPr>
          <w:rFonts w:hint="eastAsia" w:ascii="仿宋" w:hAnsi="仿宋" w:eastAsia="仿宋"/>
        </w:rPr>
      </w:pPr>
      <w:r>
        <w:rPr>
          <w:rFonts w:hint="eastAsia" w:ascii="仿宋" w:hAnsi="仿宋" w:eastAsia="仿宋"/>
        </w:rPr>
        <w:t>　　(二)贯彻国家有关防汛抗旱工作的方针，政策及国家防汛抗旱总指挥部的决定和调度命令。</w:t>
      </w:r>
    </w:p>
    <w:p>
      <w:pPr>
        <w:rPr>
          <w:rFonts w:hint="eastAsia" w:ascii="仿宋" w:hAnsi="仿宋" w:eastAsia="仿宋"/>
        </w:rPr>
      </w:pPr>
      <w:r>
        <w:rPr>
          <w:rFonts w:hint="eastAsia" w:ascii="仿宋" w:hAnsi="仿宋" w:eastAsia="仿宋"/>
        </w:rPr>
        <w:t>　　（三）掌握防汛抗旱的情况和信息，组织有关部门会商，为指防汛抗旱决策提供科学依据。</w:t>
      </w:r>
    </w:p>
    <w:p>
      <w:pPr>
        <w:rPr>
          <w:rFonts w:hint="eastAsia" w:ascii="仿宋" w:hAnsi="仿宋" w:eastAsia="仿宋"/>
        </w:rPr>
      </w:pPr>
      <w:r>
        <w:rPr>
          <w:rFonts w:hint="eastAsia" w:ascii="仿宋" w:hAnsi="仿宋" w:eastAsia="仿宋"/>
        </w:rPr>
        <w:t>　　（四）组织实施防汛抗旱工作系统的目标管理责任制并做好督促检查。</w:t>
      </w:r>
    </w:p>
    <w:p>
      <w:pPr>
        <w:rPr>
          <w:rFonts w:hint="eastAsia" w:ascii="仿宋" w:hAnsi="仿宋" w:eastAsia="仿宋"/>
        </w:rPr>
      </w:pPr>
      <w:r>
        <w:rPr>
          <w:rFonts w:hint="eastAsia" w:ascii="仿宋" w:hAnsi="仿宋" w:eastAsia="仿宋"/>
        </w:rPr>
        <w:t>　　（五）宣传教育广大干部群众，服从抗洪抢险的统一调度指挥，克服麻痹思想，提高灾减灾意识。</w:t>
      </w:r>
    </w:p>
    <w:p>
      <w:pPr>
        <w:rPr>
          <w:rFonts w:hint="eastAsia" w:ascii="仿宋" w:hAnsi="仿宋" w:eastAsia="仿宋"/>
        </w:rPr>
      </w:pPr>
      <w:r>
        <w:rPr>
          <w:rFonts w:hint="eastAsia" w:ascii="仿宋" w:hAnsi="仿宋" w:eastAsia="仿宋"/>
        </w:rPr>
        <w:t>　　（六）细织、协调防洪体系的规划，促进防洪体系的建设，开展防汛抗旱工作检查，督促做好防汛抗旱的准备工作，抓好抗旱服务组织建设和度汛应急工程及水毁工程修复工作。</w:t>
      </w:r>
    </w:p>
    <w:p>
      <w:pPr>
        <w:rPr>
          <w:rFonts w:hint="eastAsia" w:ascii="仿宋" w:hAnsi="仿宋" w:eastAsia="仿宋"/>
        </w:rPr>
      </w:pPr>
      <w:r>
        <w:rPr>
          <w:rFonts w:hint="eastAsia" w:ascii="仿宋" w:hAnsi="仿宋" w:eastAsia="仿宋"/>
        </w:rPr>
        <w:t>　　（七）负责全市防汛抗旱物资、器材、经费计划的编制、调配与管理，并监督使用。</w:t>
      </w:r>
    </w:p>
    <w:p>
      <w:pPr>
        <w:rPr>
          <w:rFonts w:hint="eastAsia" w:ascii="仿宋" w:hAnsi="仿宋" w:eastAsia="仿宋"/>
        </w:rPr>
      </w:pPr>
      <w:r>
        <w:rPr>
          <w:rFonts w:hint="eastAsia" w:ascii="仿宋" w:hAnsi="仿宋" w:eastAsia="仿宋"/>
        </w:rPr>
        <w:t>　　（八）指导全市防汛抗旱指挥系统建设，逐步实现防汛抗旱指作的现代化。</w:t>
      </w:r>
    </w:p>
    <w:p>
      <w:pPr>
        <w:rPr>
          <w:rFonts w:hint="eastAsia" w:ascii="仿宋" w:hAnsi="仿宋" w:eastAsia="仿宋"/>
        </w:rPr>
      </w:pPr>
      <w:r>
        <w:rPr>
          <w:rFonts w:hint="eastAsia" w:ascii="仿宋" w:hAnsi="仿宋" w:eastAsia="仿宋"/>
        </w:rPr>
        <w:t>　　(九)完成市委、市政府交办的其他工作。</w:t>
      </w:r>
    </w:p>
    <w:p>
      <w:pPr>
        <w:rPr>
          <w:rFonts w:hint="eastAsia" w:ascii="仿宋" w:hAnsi="仿宋" w:eastAsia="仿宋"/>
        </w:rPr>
      </w:pPr>
      <w:r>
        <w:rPr>
          <w:rFonts w:hint="eastAsia" w:ascii="仿宋" w:hAnsi="仿宋" w:eastAsia="仿宋"/>
        </w:rPr>
        <w:t xml:space="preserve">   </w:t>
      </w:r>
    </w:p>
    <w:p>
      <w:pPr>
        <w:numPr>
          <w:ilvl w:val="0"/>
          <w:numId w:val="1"/>
        </w:numPr>
        <w:ind w:firstLine="640" w:firstLineChars="200"/>
        <w:rPr>
          <w:rFonts w:hint="eastAsia" w:ascii="仿宋" w:hAnsi="仿宋" w:eastAsia="仿宋"/>
        </w:rPr>
      </w:pPr>
      <w:r>
        <w:rPr>
          <w:rFonts w:hint="eastAsia" w:ascii="黑体" w:hAnsi="黑体" w:eastAsia="黑体"/>
        </w:rPr>
        <w:t>机构设置</w:t>
      </w:r>
    </w:p>
    <w:p>
      <w:pPr>
        <w:rPr>
          <w:rFonts w:hint="eastAsia" w:ascii="仿宋" w:hAnsi="仿宋" w:eastAsia="仿宋"/>
        </w:rPr>
      </w:pPr>
      <w:r>
        <w:rPr>
          <w:rFonts w:hint="eastAsia" w:ascii="仿宋" w:hAnsi="仿宋" w:eastAsia="仿宋"/>
          <w:szCs w:val="30"/>
        </w:rPr>
        <w:t xml:space="preserve">    榆树市应急救援中心不设内设机构（根据上述职责，应急救援中心内设3个办公室，分别为综合办公室、防汛抗旱办公室、森林防为办公室）</w:t>
      </w:r>
      <w:r>
        <w:rPr>
          <w:rFonts w:hint="eastAsia" w:ascii="仿宋" w:hAnsi="仿宋" w:eastAsia="仿宋"/>
        </w:rPr>
        <w:t>。</w:t>
      </w:r>
    </w:p>
    <w:p>
      <w:pPr>
        <w:ind w:firstLine="640" w:firstLineChars="200"/>
        <w:rPr>
          <w:rFonts w:hint="eastAsia"/>
          <w:color w:val="000000"/>
          <w:szCs w:val="32"/>
        </w:rPr>
      </w:pPr>
      <w:r>
        <w:rPr>
          <w:rFonts w:hint="eastAsia" w:ascii="仿宋" w:hAnsi="仿宋" w:eastAsia="仿宋"/>
        </w:rPr>
        <w:t>2022年实有人员 25人，其中：在职人员24 人，离岗创业1人。</w:t>
      </w:r>
    </w:p>
    <w:p>
      <w:pPr>
        <w:pStyle w:val="51"/>
        <w:ind w:firstLine="640" w:firstLineChars="200"/>
        <w:rPr>
          <w:rFonts w:hAnsi="楷体" w:eastAsia="楷体"/>
        </w:rPr>
      </w:pPr>
    </w:p>
    <w:p>
      <w:pPr>
        <w:pStyle w:val="51"/>
        <w:ind w:firstLine="640" w:firstLineChars="200"/>
        <w:rPr>
          <w:rFonts w:hAnsi="楷体" w:eastAsia="楷体"/>
        </w:rPr>
      </w:pPr>
    </w:p>
    <w:p>
      <w:pPr>
        <w:pStyle w:val="51"/>
        <w:ind w:firstLine="640" w:firstLineChars="200"/>
        <w:rPr>
          <w:rFonts w:hAnsi="楷体" w:eastAsia="楷体"/>
        </w:rPr>
      </w:pPr>
    </w:p>
    <w:p>
      <w:pPr>
        <w:pStyle w:val="51"/>
        <w:ind w:firstLine="640" w:firstLineChars="200"/>
        <w:rPr>
          <w:rFonts w:eastAsia="黑体"/>
        </w:rPr>
      </w:pPr>
      <w:r>
        <w:rPr>
          <w:rFonts w:hint="eastAsia" w:hAnsi="楷体" w:eastAsia="楷体"/>
        </w:rPr>
        <w:br w:type="page"/>
      </w:r>
    </w:p>
    <w:p>
      <w:pPr>
        <w:ind w:firstLine="640" w:firstLineChars="200"/>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center"/>
          </w:tcPr>
          <w:p>
            <w:pPr>
              <w:widowControl/>
              <w:jc w:val="center"/>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11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29.59</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29.59</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医疗卫生与计划生育支出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12.25</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12.25</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19.09</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19.09</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四、灾害防治及应急管理支出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187.83</w:t>
            </w:r>
          </w:p>
        </w:tc>
        <w:tc>
          <w:tcPr>
            <w:tcW w:w="1182" w:type="dxa"/>
            <w:gridSpan w:val="2"/>
            <w:tcBorders>
              <w:top w:val="nil"/>
              <w:left w:val="nil"/>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187.83</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vAlign w:val="center"/>
          </w:tcPr>
          <w:p>
            <w:pPr>
              <w:jc w:val="center"/>
              <w:rPr>
                <w:rFonts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vAlign w:val="center"/>
          </w:tcPr>
          <w:p>
            <w:pPr>
              <w:jc w:val="center"/>
              <w:rPr>
                <w:rFonts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vAlign w:val="center"/>
          </w:tcPr>
          <w:p>
            <w:pPr>
              <w:jc w:val="center"/>
              <w:rPr>
                <w:rFonts w:eastAsia="宋体"/>
                <w:sz w:val="20"/>
              </w:rPr>
            </w:pPr>
          </w:p>
        </w:tc>
        <w:tc>
          <w:tcPr>
            <w:tcW w:w="1073" w:type="dxa"/>
            <w:tcBorders>
              <w:top w:val="nil"/>
              <w:left w:val="nil"/>
              <w:bottom w:val="single" w:color="auto" w:sz="4" w:space="0"/>
              <w:right w:val="single" w:color="auto" w:sz="4" w:space="0"/>
            </w:tcBorders>
            <w:vAlign w:val="center"/>
          </w:tcPr>
          <w:p>
            <w:pPr>
              <w:jc w:val="center"/>
              <w:rPr>
                <w:rFonts w:eastAsia="宋体"/>
                <w:sz w:val="20"/>
              </w:rPr>
            </w:pPr>
          </w:p>
        </w:tc>
        <w:tc>
          <w:tcPr>
            <w:tcW w:w="1200" w:type="dxa"/>
            <w:tcBorders>
              <w:top w:val="nil"/>
              <w:left w:val="single" w:color="auto" w:sz="4" w:space="0"/>
              <w:bottom w:val="single" w:color="auto" w:sz="4" w:space="0"/>
              <w:right w:val="nil"/>
            </w:tcBorders>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58" w:type="dxa"/>
            <w:tcBorders>
              <w:top w:val="nil"/>
              <w:left w:val="nil"/>
              <w:bottom w:val="single" w:color="auto" w:sz="4" w:space="0"/>
              <w:right w:val="single" w:color="auto" w:sz="4" w:space="0"/>
            </w:tcBorders>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0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200"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248.76</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ind w:firstLine="645"/>
        <w:rPr>
          <w:rFonts w:eastAsia="楷体"/>
        </w:rPr>
      </w:pPr>
      <w:r>
        <w:rPr>
          <w:rFonts w:hAnsi="楷体" w:eastAsia="楷体"/>
        </w:rPr>
        <w:br w:type="page"/>
      </w:r>
    </w:p>
    <w:p>
      <w:pPr>
        <w:jc w:val="center"/>
        <w:rPr>
          <w:rFonts w:eastAsia="方正小标宋简体"/>
          <w:sz w:val="44"/>
        </w:rPr>
      </w:pPr>
      <w:r>
        <w:rPr>
          <w:rFonts w:eastAsia="方正小标宋简体"/>
          <w:sz w:val="44"/>
        </w:rPr>
        <w:t>收入</w:t>
      </w:r>
      <w:r>
        <w:rPr>
          <w:rFonts w:hint="eastAsia" w:eastAsia="方正小标宋简体"/>
          <w:sz w:val="44"/>
        </w:rPr>
        <w:t>总</w:t>
      </w:r>
      <w:r>
        <w:rPr>
          <w:rFonts w:eastAsia="方正小标宋简体"/>
          <w:sz w:val="44"/>
        </w:rPr>
        <w:t>表</w:t>
      </w:r>
    </w:p>
    <w:tbl>
      <w:tblPr>
        <w:tblStyle w:val="9"/>
        <w:tblW w:w="0" w:type="auto"/>
        <w:jc w:val="center"/>
        <w:tblLayout w:type="fixed"/>
        <w:tblCellMar>
          <w:top w:w="0" w:type="dxa"/>
          <w:left w:w="108" w:type="dxa"/>
          <w:bottom w:w="0" w:type="dxa"/>
          <w:right w:w="108" w:type="dxa"/>
        </w:tblCellMar>
      </w:tblPr>
      <w:tblGrid>
        <w:gridCol w:w="428"/>
        <w:gridCol w:w="805"/>
        <w:gridCol w:w="611"/>
        <w:gridCol w:w="416"/>
        <w:gridCol w:w="416"/>
        <w:gridCol w:w="416"/>
        <w:gridCol w:w="416"/>
        <w:gridCol w:w="416"/>
        <w:gridCol w:w="416"/>
        <w:gridCol w:w="218"/>
        <w:gridCol w:w="198"/>
        <w:gridCol w:w="416"/>
        <w:gridCol w:w="416"/>
        <w:gridCol w:w="31"/>
        <w:gridCol w:w="385"/>
        <w:gridCol w:w="146"/>
        <w:gridCol w:w="270"/>
        <w:gridCol w:w="261"/>
        <w:gridCol w:w="155"/>
        <w:gridCol w:w="376"/>
        <w:gridCol w:w="40"/>
        <w:gridCol w:w="416"/>
        <w:gridCol w:w="416"/>
        <w:gridCol w:w="416"/>
        <w:gridCol w:w="428"/>
      </w:tblGrid>
      <w:tr>
        <w:tblPrEx>
          <w:tblCellMar>
            <w:top w:w="0" w:type="dxa"/>
            <w:left w:w="108" w:type="dxa"/>
            <w:bottom w:w="0" w:type="dxa"/>
            <w:right w:w="108" w:type="dxa"/>
          </w:tblCellMar>
        </w:tblPrEx>
        <w:trPr>
          <w:trHeight w:val="441" w:hRule="atLeast"/>
          <w:jc w:val="center"/>
        </w:trPr>
        <w:tc>
          <w:tcPr>
            <w:tcW w:w="428" w:type="dxa"/>
            <w:tcBorders>
              <w:bottom w:val="single" w:color="000000" w:sz="4" w:space="0"/>
            </w:tcBorders>
          </w:tcPr>
          <w:p>
            <w:pPr>
              <w:autoSpaceDN w:val="0"/>
              <w:jc w:val="left"/>
              <w:textAlignment w:val="center"/>
              <w:rPr>
                <w:rFonts w:eastAsia="华文细黑"/>
                <w:color w:val="000000"/>
                <w:sz w:val="20"/>
              </w:rPr>
            </w:pPr>
          </w:p>
        </w:tc>
        <w:tc>
          <w:tcPr>
            <w:tcW w:w="4130" w:type="dxa"/>
            <w:gridSpan w:val="9"/>
            <w:tcBorders>
              <w:bottom w:val="single" w:color="000000" w:sz="4" w:space="0"/>
            </w:tcBorders>
            <w:vAlign w:val="center"/>
          </w:tcPr>
          <w:p>
            <w:pPr>
              <w:autoSpaceDN w:val="0"/>
              <w:jc w:val="left"/>
              <w:textAlignment w:val="center"/>
              <w:rPr>
                <w:rFonts w:eastAsia="华文细黑"/>
                <w:color w:val="000000"/>
                <w:sz w:val="20"/>
              </w:rPr>
            </w:pPr>
          </w:p>
        </w:tc>
        <w:tc>
          <w:tcPr>
            <w:tcW w:w="1061" w:type="dxa"/>
            <w:gridSpan w:val="4"/>
            <w:vAlign w:val="center"/>
          </w:tcPr>
          <w:p>
            <w:pPr>
              <w:autoSpaceDN w:val="0"/>
              <w:jc w:val="left"/>
              <w:textAlignment w:val="center"/>
              <w:rPr>
                <w:rFonts w:eastAsia="华文细黑"/>
                <w:color w:val="000000"/>
                <w:sz w:val="20"/>
              </w:rPr>
            </w:pPr>
          </w:p>
        </w:tc>
        <w:tc>
          <w:tcPr>
            <w:tcW w:w="531" w:type="dxa"/>
            <w:gridSpan w:val="2"/>
            <w:vAlign w:val="center"/>
          </w:tcPr>
          <w:p>
            <w:pPr>
              <w:autoSpaceDN w:val="0"/>
              <w:jc w:val="left"/>
              <w:textAlignment w:val="center"/>
              <w:rPr>
                <w:rFonts w:eastAsia="华文细黑"/>
                <w:color w:val="000000"/>
                <w:sz w:val="20"/>
              </w:rPr>
            </w:pPr>
          </w:p>
        </w:tc>
        <w:tc>
          <w:tcPr>
            <w:tcW w:w="531" w:type="dxa"/>
            <w:gridSpan w:val="2"/>
            <w:vAlign w:val="center"/>
          </w:tcPr>
          <w:p>
            <w:pPr>
              <w:autoSpaceDN w:val="0"/>
              <w:jc w:val="left"/>
              <w:textAlignment w:val="center"/>
              <w:rPr>
                <w:rFonts w:eastAsia="华文细黑"/>
                <w:color w:val="000000"/>
                <w:sz w:val="20"/>
              </w:rPr>
            </w:pPr>
          </w:p>
        </w:tc>
        <w:tc>
          <w:tcPr>
            <w:tcW w:w="531" w:type="dxa"/>
            <w:gridSpan w:val="2"/>
            <w:vAlign w:val="bottom"/>
          </w:tcPr>
          <w:p>
            <w:pPr>
              <w:autoSpaceDN w:val="0"/>
              <w:jc w:val="left"/>
              <w:textAlignment w:val="bottom"/>
              <w:rPr>
                <w:rFonts w:eastAsia="宋体"/>
                <w:color w:val="000000"/>
                <w:sz w:val="20"/>
              </w:rPr>
            </w:pPr>
          </w:p>
        </w:tc>
        <w:tc>
          <w:tcPr>
            <w:tcW w:w="1716" w:type="dxa"/>
            <w:gridSpan w:val="5"/>
          </w:tcPr>
          <w:p>
            <w:pPr>
              <w:wordWrap w:val="0"/>
              <w:autoSpaceDN w:val="0"/>
              <w:jc w:val="right"/>
              <w:textAlignment w:val="center"/>
              <w:rPr>
                <w:rFonts w:eastAsia="宋体"/>
                <w:color w:val="000000"/>
                <w:sz w:val="20"/>
              </w:rPr>
            </w:pPr>
            <w:r>
              <w:rPr>
                <w:rFonts w:eastAsia="宋体"/>
                <w:color w:val="000000"/>
                <w:sz w:val="20"/>
              </w:rPr>
              <w:t xml:space="preserve">  单位：万元</w:t>
            </w:r>
          </w:p>
        </w:tc>
      </w:tr>
      <w:tr>
        <w:tblPrEx>
          <w:tblCellMar>
            <w:top w:w="0" w:type="dxa"/>
            <w:left w:w="108" w:type="dxa"/>
            <w:bottom w:w="0" w:type="dxa"/>
            <w:right w:w="108" w:type="dxa"/>
          </w:tblCellMar>
        </w:tblPrEx>
        <w:trPr>
          <w:trHeight w:val="418" w:hRule="atLeast"/>
          <w:jc w:val="center"/>
        </w:trPr>
        <w:tc>
          <w:tcPr>
            <w:tcW w:w="1233"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部门       （单位）</w:t>
            </w:r>
          </w:p>
        </w:tc>
        <w:tc>
          <w:tcPr>
            <w:tcW w:w="611" w:type="dxa"/>
            <w:vMerge w:val="restart"/>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eastAsia="宋体"/>
                <w:color w:val="000000"/>
                <w:sz w:val="20"/>
              </w:rPr>
            </w:pPr>
            <w:r>
              <w:rPr>
                <w:rFonts w:hint="eastAsia" w:eastAsia="宋体"/>
                <w:color w:val="000000"/>
                <w:sz w:val="20"/>
              </w:rPr>
              <w:t>总计</w:t>
            </w:r>
          </w:p>
        </w:tc>
        <w:tc>
          <w:tcPr>
            <w:tcW w:w="4160" w:type="dxa"/>
            <w:gridSpan w:val="1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eastAsia="宋体"/>
                <w:color w:val="000000"/>
                <w:sz w:val="20"/>
              </w:rPr>
            </w:pPr>
            <w:r>
              <w:rPr>
                <w:rFonts w:hint="eastAsia" w:eastAsia="宋体"/>
                <w:color w:val="000000"/>
                <w:sz w:val="20"/>
              </w:rPr>
              <w:t>当年预算</w:t>
            </w:r>
          </w:p>
        </w:tc>
        <w:tc>
          <w:tcPr>
            <w:tcW w:w="2924" w:type="dxa"/>
            <w:gridSpan w:val="10"/>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eastAsia="宋体"/>
                <w:color w:val="000000"/>
                <w:sz w:val="20"/>
              </w:rPr>
            </w:pPr>
            <w:r>
              <w:rPr>
                <w:rFonts w:hint="eastAsia" w:eastAsia="宋体"/>
                <w:color w:val="000000"/>
                <w:sz w:val="20"/>
              </w:rPr>
              <w:t>上年结转结余</w:t>
            </w:r>
          </w:p>
        </w:tc>
      </w:tr>
      <w:tr>
        <w:tblPrEx>
          <w:tblCellMar>
            <w:top w:w="0" w:type="dxa"/>
            <w:left w:w="108" w:type="dxa"/>
            <w:bottom w:w="0" w:type="dxa"/>
            <w:right w:w="108" w:type="dxa"/>
          </w:tblCellMar>
        </w:tblPrEx>
        <w:trPr>
          <w:trHeight w:val="1157" w:hRule="atLeast"/>
          <w:jc w:val="center"/>
        </w:trPr>
        <w:tc>
          <w:tcPr>
            <w:tcW w:w="1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autoSpaceDN w:val="0"/>
              <w:jc w:val="center"/>
              <w:rPr>
                <w:rFonts w:eastAsia="宋体"/>
                <w:sz w:val="20"/>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eastAsia="宋体"/>
                <w:sz w:val="20"/>
              </w:rPr>
            </w:pPr>
            <w:r>
              <w:rPr>
                <w:rFonts w:hint="eastAsia" w:eastAsia="宋体"/>
                <w:sz w:val="20"/>
              </w:rPr>
              <w:t>小计</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一般公</w:t>
            </w:r>
          </w:p>
          <w:p>
            <w:pPr>
              <w:autoSpaceDN w:val="0"/>
              <w:jc w:val="center"/>
              <w:rPr>
                <w:rFonts w:eastAsia="宋体"/>
                <w:sz w:val="20"/>
              </w:rPr>
            </w:pPr>
            <w:r>
              <w:rPr>
                <w:rFonts w:hint="eastAsia" w:eastAsia="宋体"/>
                <w:sz w:val="20"/>
              </w:rPr>
              <w:t>共预算</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政府性基</w:t>
            </w:r>
          </w:p>
          <w:p>
            <w:pPr>
              <w:autoSpaceDN w:val="0"/>
              <w:jc w:val="center"/>
              <w:rPr>
                <w:rFonts w:eastAsia="宋体"/>
                <w:sz w:val="20"/>
              </w:rPr>
            </w:pPr>
            <w:r>
              <w:rPr>
                <w:rFonts w:hint="eastAsia" w:eastAsia="宋体"/>
                <w:sz w:val="20"/>
              </w:rPr>
              <w:t>金预算</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国有资本</w:t>
            </w:r>
          </w:p>
          <w:p>
            <w:pPr>
              <w:autoSpaceDN w:val="0"/>
              <w:jc w:val="center"/>
              <w:rPr>
                <w:rFonts w:eastAsia="宋体"/>
                <w:sz w:val="20"/>
              </w:rPr>
            </w:pPr>
            <w:r>
              <w:rPr>
                <w:rFonts w:hint="eastAsia" w:eastAsia="宋体"/>
                <w:sz w:val="20"/>
              </w:rPr>
              <w:t>经营预算</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财政专户</w:t>
            </w:r>
          </w:p>
          <w:p>
            <w:pPr>
              <w:autoSpaceDN w:val="0"/>
              <w:jc w:val="center"/>
              <w:rPr>
                <w:rFonts w:eastAsia="宋体"/>
                <w:sz w:val="20"/>
              </w:rPr>
            </w:pPr>
            <w:r>
              <w:rPr>
                <w:rFonts w:hint="eastAsia" w:eastAsia="宋体"/>
                <w:sz w:val="20"/>
              </w:rPr>
              <w:t>管理资金</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eastAsia="宋体"/>
                <w:sz w:val="20"/>
              </w:rPr>
            </w:pPr>
            <w:r>
              <w:rPr>
                <w:rFonts w:hint="eastAsia" w:eastAsia="宋体"/>
                <w:sz w:val="20"/>
              </w:rPr>
              <w:t>事业收入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事业单位</w:t>
            </w:r>
          </w:p>
          <w:p>
            <w:pPr>
              <w:autoSpaceDN w:val="0"/>
              <w:jc w:val="center"/>
              <w:rPr>
                <w:rFonts w:eastAsia="宋体"/>
                <w:sz w:val="20"/>
              </w:rPr>
            </w:pPr>
            <w:r>
              <w:rPr>
                <w:rFonts w:hint="eastAsia" w:eastAsia="宋体"/>
                <w:sz w:val="20"/>
              </w:rPr>
              <w:t>经营收入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上级</w:t>
            </w:r>
          </w:p>
          <w:p>
            <w:pPr>
              <w:autoSpaceDN w:val="0"/>
              <w:jc w:val="center"/>
              <w:rPr>
                <w:rFonts w:hint="eastAsia" w:eastAsia="宋体"/>
                <w:sz w:val="20"/>
                <w:lang w:eastAsia="zh-CN"/>
              </w:rPr>
            </w:pPr>
            <w:r>
              <w:rPr>
                <w:rFonts w:hint="eastAsia" w:eastAsia="宋体"/>
                <w:sz w:val="20"/>
              </w:rPr>
              <w:t>补助</w:t>
            </w:r>
          </w:p>
          <w:p>
            <w:pPr>
              <w:autoSpaceDN w:val="0"/>
              <w:jc w:val="center"/>
              <w:rPr>
                <w:rFonts w:eastAsia="宋体"/>
                <w:sz w:val="20"/>
              </w:rPr>
            </w:pPr>
            <w:r>
              <w:rPr>
                <w:rFonts w:hint="eastAsia" w:eastAsia="宋体"/>
                <w:sz w:val="20"/>
              </w:rPr>
              <w:t>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附属单位</w:t>
            </w:r>
          </w:p>
          <w:p>
            <w:pPr>
              <w:autoSpaceDN w:val="0"/>
              <w:jc w:val="center"/>
              <w:rPr>
                <w:rFonts w:eastAsia="宋体"/>
                <w:sz w:val="20"/>
              </w:rPr>
            </w:pPr>
            <w:r>
              <w:rPr>
                <w:rFonts w:hint="eastAsia" w:eastAsia="宋体"/>
                <w:sz w:val="20"/>
              </w:rPr>
              <w:t>上缴收入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rPr>
                <w:rFonts w:hint="eastAsia" w:eastAsia="宋体"/>
                <w:sz w:val="20"/>
                <w:lang w:eastAsia="zh-CN"/>
              </w:rPr>
            </w:pPr>
            <w:r>
              <w:rPr>
                <w:rFonts w:hint="eastAsia" w:eastAsia="宋体"/>
                <w:sz w:val="20"/>
              </w:rPr>
              <w:t>其他</w:t>
            </w:r>
          </w:p>
          <w:p>
            <w:pPr>
              <w:autoSpaceDN w:val="0"/>
              <w:jc w:val="center"/>
              <w:rPr>
                <w:rFonts w:eastAsia="宋体"/>
                <w:sz w:val="20"/>
              </w:rPr>
            </w:pPr>
            <w:r>
              <w:rPr>
                <w:rFonts w:hint="eastAsia" w:eastAsia="宋体"/>
                <w:sz w:val="20"/>
              </w:rPr>
              <w:t>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widowControl/>
              <w:jc w:val="center"/>
              <w:textAlignment w:val="center"/>
              <w:rPr>
                <w:rFonts w:eastAsia="宋体"/>
                <w:sz w:val="20"/>
              </w:rPr>
            </w:pPr>
            <w:r>
              <w:rPr>
                <w:rFonts w:hint="eastAsia" w:ascii="华文细黑" w:hAnsi="华文细黑" w:eastAsia="华文细黑" w:cs="华文细黑"/>
                <w:color w:val="000000"/>
                <w:kern w:val="0"/>
                <w:sz w:val="16"/>
                <w:szCs w:val="16"/>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eastAsia="宋体"/>
                <w:sz w:val="20"/>
              </w:rPr>
            </w:pPr>
            <w:r>
              <w:rPr>
                <w:rFonts w:hint="eastAsia" w:eastAsia="宋体"/>
                <w:sz w:val="20"/>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eastAsia="宋体"/>
                <w:sz w:val="20"/>
              </w:rPr>
            </w:pPr>
            <w:r>
              <w:rPr>
                <w:rFonts w:hint="eastAsia" w:eastAsia="宋体"/>
                <w:sz w:val="20"/>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eastAsia="宋体"/>
                <w:sz w:val="20"/>
              </w:rPr>
            </w:pPr>
            <w:r>
              <w:rPr>
                <w:rFonts w:hint="eastAsia" w:eastAsia="宋体"/>
                <w:sz w:val="20"/>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vAlign w:val="center"/>
          </w:tcPr>
          <w:p>
            <w:pPr>
              <w:autoSpaceDN w:val="0"/>
              <w:jc w:val="center"/>
              <w:rPr>
                <w:rFonts w:eastAsia="宋体"/>
                <w:sz w:val="20"/>
              </w:rPr>
            </w:pPr>
            <w:r>
              <w:rPr>
                <w:rFonts w:hint="eastAsia" w:eastAsia="宋体"/>
                <w:sz w:val="20"/>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N w:val="0"/>
              <w:jc w:val="center"/>
              <w:rPr>
                <w:rFonts w:eastAsia="宋体"/>
                <w:sz w:val="20"/>
              </w:rPr>
            </w:pPr>
            <w:r>
              <w:rPr>
                <w:rFonts w:hint="eastAsia" w:eastAsia="宋体"/>
                <w:sz w:val="20"/>
              </w:rPr>
              <w:t>单位资金结转结余</w:t>
            </w:r>
          </w:p>
        </w:tc>
        <w:tc>
          <w:tcPr>
            <w:tcW w:w="428"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eastAsia" w:eastAsia="宋体"/>
                <w:sz w:val="20"/>
                <w:lang w:eastAsia="zh-CN"/>
              </w:rPr>
            </w:pPr>
            <w:r>
              <w:rPr>
                <w:rFonts w:hint="eastAsia" w:eastAsia="宋体"/>
                <w:sz w:val="20"/>
              </w:rPr>
              <w:t>用事业基</w:t>
            </w:r>
          </w:p>
          <w:p>
            <w:pPr>
              <w:autoSpaceDN w:val="0"/>
              <w:jc w:val="center"/>
              <w:rPr>
                <w:rFonts w:hint="eastAsia" w:eastAsia="宋体"/>
                <w:sz w:val="20"/>
                <w:lang w:eastAsia="zh-CN"/>
              </w:rPr>
            </w:pPr>
            <w:r>
              <w:rPr>
                <w:rFonts w:hint="eastAsia" w:eastAsia="宋体"/>
                <w:sz w:val="20"/>
              </w:rPr>
              <w:t>金弥补收</w:t>
            </w:r>
          </w:p>
          <w:p>
            <w:pPr>
              <w:autoSpaceDN w:val="0"/>
              <w:jc w:val="center"/>
              <w:rPr>
                <w:rFonts w:eastAsia="宋体"/>
                <w:sz w:val="20"/>
              </w:rPr>
            </w:pPr>
            <w:r>
              <w:rPr>
                <w:rFonts w:hint="eastAsia" w:eastAsia="宋体"/>
                <w:sz w:val="20"/>
              </w:rPr>
              <w:t>支差额</w:t>
            </w:r>
          </w:p>
        </w:tc>
      </w:tr>
      <w:tr>
        <w:tblPrEx>
          <w:tblCellMar>
            <w:top w:w="0" w:type="dxa"/>
            <w:left w:w="108" w:type="dxa"/>
            <w:bottom w:w="0" w:type="dxa"/>
            <w:right w:w="108" w:type="dxa"/>
          </w:tblCellMar>
        </w:tblPrEx>
        <w:trPr>
          <w:trHeight w:val="523" w:hRule="atLeast"/>
          <w:jc w:val="center"/>
        </w:trPr>
        <w:tc>
          <w:tcPr>
            <w:tcW w:w="1233" w:type="dxa"/>
            <w:gridSpan w:val="2"/>
            <w:tcBorders>
              <w:left w:val="single" w:color="000000" w:sz="4" w:space="0"/>
              <w:right w:val="single" w:color="000000" w:sz="4" w:space="0"/>
            </w:tcBorders>
            <w:vAlign w:val="center"/>
          </w:tcPr>
          <w:p>
            <w:pPr>
              <w:widowControl/>
              <w:jc w:val="left"/>
              <w:rPr>
                <w:rFonts w:eastAsia="宋体"/>
                <w:color w:val="000000"/>
                <w:sz w:val="20"/>
              </w:rPr>
            </w:pPr>
            <w:r>
              <w:rPr>
                <w:rFonts w:hint="eastAsia" w:eastAsia="宋体"/>
                <w:color w:val="000000"/>
                <w:sz w:val="20"/>
              </w:rPr>
              <w:t>榆树市应急救援中心</w:t>
            </w:r>
          </w:p>
        </w:tc>
        <w:tc>
          <w:tcPr>
            <w:tcW w:w="611"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right w:val="single" w:color="000000" w:sz="4" w:space="0"/>
            </w:tcBorders>
            <w:vAlign w:val="center"/>
          </w:tcPr>
          <w:p>
            <w:pPr>
              <w:shd w:val="solid" w:color="FFFFFF" w:fill="auto"/>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c>
          <w:tcPr>
            <w:tcW w:w="428" w:type="dxa"/>
            <w:tcBorders>
              <w:top w:val="single" w:color="000000" w:sz="4" w:space="0"/>
              <w:left w:val="single" w:color="000000" w:sz="4" w:space="0"/>
              <w:right w:val="single" w:color="000000" w:sz="4" w:space="0"/>
            </w:tcBorders>
            <w:vAlign w:val="center"/>
          </w:tcPr>
          <w:p>
            <w:pPr>
              <w:autoSpaceDN w:val="0"/>
              <w:jc w:val="center"/>
              <w:textAlignment w:val="center"/>
              <w:rPr>
                <w:rFonts w:eastAsia="宋体"/>
                <w:color w:val="000000"/>
                <w:sz w:val="20"/>
              </w:rPr>
            </w:pPr>
          </w:p>
        </w:tc>
      </w:tr>
      <w:tr>
        <w:tblPrEx>
          <w:tblCellMar>
            <w:top w:w="0" w:type="dxa"/>
            <w:left w:w="108" w:type="dxa"/>
            <w:bottom w:w="0" w:type="dxa"/>
            <w:right w:w="108" w:type="dxa"/>
          </w:tblCellMar>
        </w:tblPrEx>
        <w:trPr>
          <w:trHeight w:val="481"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56"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0"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71"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1"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5"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widowControl/>
              <w:jc w:val="center"/>
              <w:rPr>
                <w:rFonts w:eastAsia="宋体"/>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0"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left"/>
              <w:textAlignment w:val="center"/>
              <w:rPr>
                <w:rFonts w:eastAsia="华文细黑"/>
                <w:color w:val="000000"/>
                <w:sz w:val="20"/>
                <w:shd w:val="clear" w:color="auto" w:fill="FFFFFF"/>
              </w:rPr>
            </w:pP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r>
        <w:tblPrEx>
          <w:tblCellMar>
            <w:top w:w="0" w:type="dxa"/>
            <w:left w:w="108" w:type="dxa"/>
            <w:bottom w:w="0" w:type="dxa"/>
            <w:right w:w="108" w:type="dxa"/>
          </w:tblCellMar>
        </w:tblPrEx>
        <w:trPr>
          <w:trHeight w:val="438" w:hRule="atLeast"/>
          <w:jc w:val="center"/>
        </w:trPr>
        <w:tc>
          <w:tcPr>
            <w:tcW w:w="1233"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611"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jc w:val="center"/>
              <w:textAlignment w:val="center"/>
              <w:rPr>
                <w:rFonts w:eastAsia="宋体"/>
                <w:color w:val="000000"/>
                <w:sz w:val="20"/>
              </w:rPr>
            </w:pPr>
            <w:r>
              <w:rPr>
                <w:rFonts w:hint="eastAsia" w:eastAsia="宋体"/>
                <w:color w:val="000000"/>
                <w:sz w:val="20"/>
              </w:rPr>
              <w:t>248.76</w:t>
            </w:r>
          </w:p>
        </w:tc>
        <w:tc>
          <w:tcPr>
            <w:tcW w:w="416"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
      <w:pPr>
        <w:ind w:firstLine="640" w:firstLineChars="200"/>
      </w:pPr>
    </w:p>
    <w:tbl>
      <w:tblPr>
        <w:tblStyle w:val="9"/>
        <w:tblW w:w="10405" w:type="dxa"/>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总</w:t>
            </w:r>
            <w:r>
              <w:rPr>
                <w:rFonts w:eastAsia="方正小标宋简体"/>
                <w:kern w:val="0"/>
                <w:sz w:val="44"/>
                <w:szCs w:val="44"/>
              </w:rPr>
              <w:t>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7"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宋体"/>
                      <w:color w:val="000000"/>
                      <w:kern w:val="0"/>
                      <w:sz w:val="20"/>
                    </w:rPr>
                    <w:t xml:space="preserve">   </w:t>
                  </w:r>
                  <w:r>
                    <w:rPr>
                      <w:rFonts w:eastAsia="宋体"/>
                      <w:color w:val="000000"/>
                      <w:kern w:val="0"/>
                      <w:sz w:val="20"/>
                    </w:rPr>
                    <w:t>一、</w:t>
                  </w:r>
                  <w:r>
                    <w:rPr>
                      <w:rFonts w:hint="eastAsia" w:eastAsia="宋体"/>
                      <w:color w:val="000000"/>
                      <w:kern w:val="0"/>
                      <w:sz w:val="20"/>
                    </w:rPr>
                    <w:t>灾害防治及应急管理支出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应急管理事务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事业</w:t>
                  </w:r>
                  <w:r>
                    <w:rPr>
                      <w:rFonts w:eastAsia="宋体"/>
                      <w:color w:val="000000"/>
                      <w:kern w:val="0"/>
                      <w:sz w:val="20"/>
                    </w:rPr>
                    <w:t>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29.59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29.59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27.69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27.69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hint="eastAsia" w:eastAsia="宋体"/>
                      <w:color w:val="000000"/>
                      <w:kern w:val="0"/>
                      <w:sz w:val="20"/>
                    </w:rPr>
                    <w:t xml:space="preserve">    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 xml:space="preserve">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248.76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248.76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tbl>
      <w:tblPr>
        <w:tblStyle w:val="9"/>
        <w:tblW w:w="10405" w:type="dxa"/>
        <w:jc w:val="center"/>
        <w:tblLayout w:type="fixed"/>
        <w:tblCellMar>
          <w:top w:w="0" w:type="dxa"/>
          <w:left w:w="108" w:type="dxa"/>
          <w:bottom w:w="0" w:type="dxa"/>
          <w:right w:w="108" w:type="dxa"/>
        </w:tblCellMar>
      </w:tblPr>
      <w:tblGrid>
        <w:gridCol w:w="10123"/>
        <w:gridCol w:w="282"/>
      </w:tblGrid>
      <w:tr>
        <w:tblPrEx>
          <w:tblCellMar>
            <w:top w:w="0" w:type="dxa"/>
            <w:left w:w="108" w:type="dxa"/>
            <w:bottom w:w="0" w:type="dxa"/>
            <w:right w:w="108" w:type="dxa"/>
          </w:tblCellMar>
        </w:tblPrEx>
        <w:trPr>
          <w:gridAfter w:val="1"/>
          <w:wAfter w:w="282" w:type="dxa"/>
          <w:trHeight w:val="873" w:hRule="atLeast"/>
          <w:jc w:val="center"/>
        </w:trPr>
        <w:tc>
          <w:tcPr>
            <w:tcW w:w="10123"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892"/>
              <w:gridCol w:w="802"/>
              <w:gridCol w:w="849"/>
              <w:gridCol w:w="688"/>
              <w:gridCol w:w="1721"/>
              <w:gridCol w:w="864"/>
              <w:gridCol w:w="744"/>
              <w:gridCol w:w="804"/>
              <w:gridCol w:w="744"/>
              <w:gridCol w:w="772"/>
            </w:tblGrid>
            <w:tr>
              <w:tblPrEx>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财政拨款收支预算表</w:t>
                  </w:r>
                </w:p>
              </w:tc>
            </w:tr>
            <w:tr>
              <w:tblPrEx>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802"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849"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688"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一般公共预算</w:t>
                  </w:r>
                </w:p>
              </w:tc>
              <w:tc>
                <w:tcPr>
                  <w:tcW w:w="15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政府性基金预算</w:t>
                  </w:r>
                </w:p>
              </w:tc>
            </w:tr>
            <w:tr>
              <w:tblPrEx>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02"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49"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688"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  结转</w:t>
                  </w:r>
                </w:p>
              </w:tc>
            </w:tr>
            <w:tr>
              <w:tblPrEx>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一、</w:t>
                  </w:r>
                  <w:r>
                    <w:rPr>
                      <w:rFonts w:hint="eastAsia" w:eastAsia="宋体"/>
                      <w:color w:val="000000"/>
                      <w:kern w:val="0"/>
                      <w:sz w:val="20"/>
                    </w:rPr>
                    <w:t>社会保障和就  业支出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29.59</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29.59</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eastAsia="宋体"/>
                      <w:color w:val="000000"/>
                      <w:sz w:val="20"/>
                    </w:rPr>
                    <w:t>二、</w:t>
                  </w:r>
                  <w:r>
                    <w:rPr>
                      <w:rFonts w:hint="eastAsia" w:eastAsia="宋体"/>
                      <w:color w:val="000000"/>
                      <w:kern w:val="0"/>
                      <w:sz w:val="20"/>
                    </w:rPr>
                    <w:t>卫生健康支出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12.25</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12.25</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eastAsia="宋体"/>
                      <w:color w:val="000000"/>
                      <w:sz w:val="20"/>
                    </w:rPr>
                    <w:t>三、</w:t>
                  </w:r>
                  <w:r>
                    <w:rPr>
                      <w:rFonts w:hint="eastAsia" w:eastAsia="华文细黑"/>
                      <w:color w:val="000000"/>
                      <w:kern w:val="0"/>
                      <w:sz w:val="20"/>
                    </w:rPr>
                    <w:t>住房保障支出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19.09</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19.09</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kern w:val="0"/>
                      <w:sz w:val="20"/>
                    </w:rPr>
                    <w:t>四、灾害防治及应急管理支出</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187.83</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187.83</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r>
                    <w:rPr>
                      <w:rFonts w:eastAsia="宋体"/>
                      <w:b/>
                      <w:bCs/>
                      <w:kern w:val="0"/>
                      <w:sz w:val="20"/>
                    </w:rPr>
                    <w:t>本年收入合计</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r>
                    <w:rPr>
                      <w:rFonts w:hint="eastAsia" w:eastAsia="宋体"/>
                      <w:bCs/>
                      <w:kern w:val="0"/>
                      <w:sz w:val="20"/>
                    </w:rPr>
                    <w:t>财政拨款结转</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eastAsia="宋体"/>
                      <w:sz w:val="20"/>
                    </w:rPr>
                    <w:t>一般公共预算拨款</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eastAsia="宋体"/>
                      <w:sz w:val="20"/>
                    </w:rPr>
                    <w:t>政府性基金预算拨款</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r>
                    <w:rPr>
                      <w:rFonts w:hint="eastAsia" w:eastAsia="宋体"/>
                      <w:sz w:val="20"/>
                    </w:rPr>
                    <w:t>国有资本经营预算拨款</w:t>
                  </w:r>
                </w:p>
              </w:tc>
              <w:tc>
                <w:tcPr>
                  <w:tcW w:w="80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849"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688"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744"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744"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tcPr>
                <w:p>
                  <w:pPr>
                    <w:ind w:firstLine="200" w:firstLineChars="100"/>
                    <w:rPr>
                      <w:rFonts w:eastAsia="宋体"/>
                      <w:sz w:val="20"/>
                    </w:rPr>
                  </w:pPr>
                </w:p>
              </w:tc>
            </w:tr>
            <w:tr>
              <w:tblPrEx>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r>
                    <w:rPr>
                      <w:rFonts w:hint="eastAsia" w:eastAsia="黑体"/>
                      <w:kern w:val="0"/>
                      <w:sz w:val="20"/>
                    </w:rPr>
                    <w:t>248.76</w:t>
                  </w:r>
                  <w:r>
                    <w:rPr>
                      <w:rFonts w:eastAsia="黑体"/>
                      <w:kern w:val="0"/>
                      <w:sz w:val="20"/>
                    </w:rPr>
                    <w:t>　</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r>
                    <w:rPr>
                      <w:rFonts w:hint="eastAsia" w:eastAsia="黑体"/>
                      <w:kern w:val="0"/>
                      <w:sz w:val="20"/>
                    </w:rPr>
                    <w:t>248.76</w:t>
                  </w:r>
                </w:p>
              </w:tc>
              <w:tc>
                <w:tcPr>
                  <w:tcW w:w="68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宋体"/>
                      <w:kern w:val="0"/>
                      <w:sz w:val="20"/>
                    </w:rPr>
                  </w:pPr>
                  <w:r>
                    <w:rPr>
                      <w:rFonts w:hint="eastAsia" w:eastAsia="宋体"/>
                      <w:kern w:val="0"/>
                      <w:sz w:val="20"/>
                    </w:rPr>
                    <w:t>248.76</w:t>
                  </w:r>
                  <w:r>
                    <w:rPr>
                      <w:rFonts w:eastAsia="宋体"/>
                      <w:kern w:val="0"/>
                      <w:sz w:val="20"/>
                    </w:rPr>
                    <w:t>　</w:t>
                  </w:r>
                </w:p>
              </w:tc>
              <w:tc>
                <w:tcPr>
                  <w:tcW w:w="744"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tcPr>
                <w:p>
                  <w:pPr>
                    <w:widowControl/>
                    <w:jc w:val="right"/>
                    <w:rPr>
                      <w:rFonts w:eastAsia="宋体"/>
                      <w:kern w:val="0"/>
                      <w:sz w:val="20"/>
                    </w:rPr>
                  </w:pP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vAlign w:val="bottom"/>
          </w:tcPr>
          <w:p>
            <w:pPr>
              <w:widowControl/>
              <w:rPr>
                <w:rFonts w:hint="eastAsia" w:hAnsi="楷体" w:eastAsia="楷体"/>
              </w:rPr>
            </w:pPr>
          </w:p>
          <w:p>
            <w:pPr>
              <w:widowControl/>
              <w:rPr>
                <w:rFonts w:eastAsia="方正小标宋简体"/>
                <w:kern w:val="0"/>
                <w:sz w:val="44"/>
                <w:szCs w:val="44"/>
              </w:rPr>
            </w:pPr>
            <w:r>
              <w:rPr>
                <w:rFonts w:hAnsi="楷体" w:eastAsia="楷体"/>
              </w:rPr>
              <w:br w:type="page"/>
            </w: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rPr>
                      <w:rFonts w:eastAsia="华文细黑"/>
                      <w:color w:val="000000"/>
                      <w:kern w:val="0"/>
                      <w:sz w:val="20"/>
                    </w:rPr>
                  </w:pPr>
                  <w:r>
                    <w:rPr>
                      <w:rFonts w:eastAsia="宋体"/>
                      <w:color w:val="000000"/>
                      <w:kern w:val="0"/>
                      <w:sz w:val="20"/>
                    </w:rPr>
                    <w:t>一、</w:t>
                  </w:r>
                  <w:r>
                    <w:rPr>
                      <w:rFonts w:hint="eastAsia" w:eastAsia="宋体"/>
                      <w:color w:val="000000"/>
                      <w:kern w:val="0"/>
                      <w:sz w:val="20"/>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174.82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应急管理事务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174.82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13.01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 xml:space="preserve">  事业</w:t>
                  </w:r>
                  <w:r>
                    <w:rPr>
                      <w:rFonts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187.83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174.82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13.01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29.59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29.59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29.59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27.69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r>
                    <w:rPr>
                      <w:rFonts w:hint="eastAsia" w:eastAsia="宋体"/>
                      <w:color w:val="000000"/>
                      <w:kern w:val="0"/>
                      <w:sz w:val="20"/>
                    </w:rPr>
                    <w:t xml:space="preserve">  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r>
                    <w:rPr>
                      <w:rFonts w:hint="eastAsia" w:eastAsia="宋体"/>
                      <w:color w:val="000000"/>
                      <w:kern w:val="0"/>
                      <w:sz w:val="20"/>
                    </w:rPr>
                    <w:t xml:space="preserve">    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 xml:space="preserve">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12.25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r>
                    <w:rPr>
                      <w:rFonts w:hint="eastAsia" w:eastAsia="华文细黑"/>
                      <w:color w:val="000000"/>
                      <w:kern w:val="0"/>
                      <w:sz w:val="20"/>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19.09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r>
                    <w:rPr>
                      <w:rFonts w:hint="eastAsia" w:eastAsia="宋体"/>
                      <w:color w:val="000000"/>
                      <w:kern w:val="0"/>
                      <w:sz w:val="20"/>
                    </w:rPr>
                    <w:t>248.76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hint="eastAsia" w:eastAsia="宋体"/>
                      <w:color w:val="000000"/>
                      <w:kern w:val="0"/>
                      <w:sz w:val="20"/>
                    </w:rPr>
                  </w:pPr>
                  <w:r>
                    <w:rPr>
                      <w:rFonts w:hint="eastAsia" w:eastAsia="宋体"/>
                      <w:color w:val="000000"/>
                      <w:kern w:val="0"/>
                      <w:sz w:val="20"/>
                    </w:rPr>
                    <w:t>248.76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235.75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r>
                    <w:rPr>
                      <w:rFonts w:hint="eastAsia" w:eastAsia="宋体"/>
                      <w:color w:val="000000"/>
                      <w:kern w:val="0"/>
                      <w:sz w:val="20"/>
                    </w:rPr>
                    <w:t>13.01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rPr>
          <w:rFonts w:hint="eastAsia" w:hAnsi="楷体" w:eastAsia="楷体"/>
        </w:rPr>
      </w:pPr>
    </w:p>
    <w:p>
      <w:pPr>
        <w:ind w:firstLine="640" w:firstLineChars="200"/>
        <w:rPr>
          <w:rFonts w:hint="eastAsia" w:hAnsi="楷体" w:eastAsia="楷体"/>
        </w:rPr>
      </w:pPr>
    </w:p>
    <w:p>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r>
              <w:rPr>
                <w:rFonts w:hAnsi="楷体" w:eastAsia="楷体"/>
              </w:rPr>
              <w:br w:type="page"/>
            </w: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eastAsia="宋体"/>
                <w:color w:val="000000"/>
                <w:kern w:val="0"/>
                <w:sz w:val="20"/>
              </w:rPr>
            </w:pPr>
            <w:r>
              <w:rPr>
                <w:rFonts w:hint="eastAsia" w:eastAsia="宋体"/>
                <w:color w:val="000000"/>
                <w:sz w:val="20"/>
              </w:rPr>
              <w:t xml:space="preserve">    </w:t>
            </w: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kern w:val="0"/>
                <w:sz w:val="20"/>
              </w:rPr>
            </w:pPr>
            <w:r>
              <w:rPr>
                <w:rFonts w:hint="eastAsia" w:eastAsia="宋体"/>
                <w:kern w:val="0"/>
                <w:sz w:val="20"/>
              </w:rPr>
              <w:t>216.66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sz w:val="24"/>
                <w:szCs w:val="24"/>
              </w:rPr>
            </w:pPr>
            <w:r>
              <w:rPr>
                <w:rFonts w:hint="eastAsia"/>
                <w:sz w:val="24"/>
                <w:szCs w:val="24"/>
              </w:rPr>
              <w:t>216.66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99.57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99.57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5.73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5.73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10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10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41.84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41.84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hint="eastAsia" w:eastAsia="宋体"/>
                <w:color w:val="000000"/>
                <w:sz w:val="20"/>
              </w:rPr>
              <w:t>绩效</w:t>
            </w:r>
            <w:r>
              <w:rPr>
                <w:rFonts w:eastAsia="宋体"/>
                <w:color w:val="000000"/>
                <w:sz w:val="20"/>
              </w:rPr>
              <w:t>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59.52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59.52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eastAsia="宋体"/>
                <w:kern w:val="0"/>
                <w:sz w:val="20"/>
              </w:rPr>
            </w:pPr>
            <w:r>
              <w:rPr>
                <w:rFonts w:hint="eastAsia" w:eastAsia="宋体"/>
                <w:color w:val="000000"/>
                <w:sz w:val="20"/>
              </w:rPr>
              <w:t xml:space="preserve">    </w:t>
            </w: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13.01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0"/>
              </w:rPr>
            </w:pPr>
            <w:r>
              <w:rPr>
                <w:rFonts w:hint="eastAsia" w:eastAsia="宋体"/>
                <w:kern w:val="0"/>
                <w:sz w:val="20"/>
              </w:rPr>
              <w:t>13.01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4"/>
                <w:szCs w:val="24"/>
              </w:rPr>
            </w:pPr>
            <w:r>
              <w:rPr>
                <w:rFonts w:hint="eastAsia" w:eastAsia="宋体"/>
                <w:kern w:val="0"/>
                <w:sz w:val="24"/>
                <w:szCs w:val="24"/>
              </w:rPr>
              <w:t>8.5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eastAsia="宋体"/>
                <w:kern w:val="0"/>
                <w:sz w:val="24"/>
                <w:szCs w:val="24"/>
              </w:rPr>
            </w:pPr>
            <w:r>
              <w:rPr>
                <w:rFonts w:hint="eastAsia" w:eastAsia="宋体"/>
                <w:kern w:val="0"/>
                <w:sz w:val="24"/>
                <w:szCs w:val="24"/>
              </w:rPr>
              <w:t>8.5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eastAsia="宋体"/>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4"/>
                <w:szCs w:val="24"/>
              </w:rPr>
            </w:pPr>
            <w:r>
              <w:rPr>
                <w:rFonts w:hint="eastAsia" w:eastAsia="宋体"/>
                <w:kern w:val="0"/>
                <w:sz w:val="24"/>
                <w:szCs w:val="24"/>
              </w:rPr>
              <w:t>3.00</w:t>
            </w:r>
          </w:p>
        </w:tc>
        <w:tc>
          <w:tcPr>
            <w:tcW w:w="1704" w:type="dxa"/>
            <w:tcBorders>
              <w:top w:val="single" w:color="auto" w:sz="4" w:space="0"/>
              <w:left w:val="single" w:color="auto" w:sz="4" w:space="0"/>
              <w:bottom w:val="single" w:color="auto" w:sz="4" w:space="0"/>
              <w:right w:val="single" w:color="auto" w:sz="4" w:space="0"/>
            </w:tcBorders>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4"/>
                <w:szCs w:val="24"/>
              </w:rPr>
            </w:pPr>
            <w:r>
              <w:rPr>
                <w:rFonts w:hint="eastAsia" w:eastAsia="宋体"/>
                <w:kern w:val="0"/>
                <w:sz w:val="24"/>
                <w:szCs w:val="24"/>
              </w:rPr>
              <w:t>3.00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11.5</w:t>
            </w:r>
          </w:p>
        </w:tc>
        <w:tc>
          <w:tcPr>
            <w:tcW w:w="1704" w:type="dxa"/>
            <w:tcBorders>
              <w:top w:val="single" w:color="auto" w:sz="4" w:space="0"/>
              <w:left w:val="single" w:color="auto" w:sz="4" w:space="0"/>
              <w:bottom w:val="single" w:color="auto" w:sz="4" w:space="0"/>
              <w:right w:val="single" w:color="auto" w:sz="4" w:space="0"/>
            </w:tcBorders>
          </w:tcPr>
          <w:p>
            <w:pPr>
              <w:widowControl/>
              <w:jc w:val="right"/>
            </w:pPr>
          </w:p>
        </w:tc>
        <w:tc>
          <w:tcPr>
            <w:tcW w:w="1831"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11.5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19.09</w:t>
            </w:r>
          </w:p>
        </w:tc>
        <w:tc>
          <w:tcPr>
            <w:tcW w:w="1704"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19.09</w:t>
            </w:r>
          </w:p>
        </w:tc>
        <w:tc>
          <w:tcPr>
            <w:tcW w:w="1831" w:type="dxa"/>
            <w:tcBorders>
              <w:top w:val="single" w:color="auto" w:sz="4" w:space="0"/>
              <w:left w:val="single" w:color="auto" w:sz="4" w:space="0"/>
              <w:bottom w:val="single" w:color="auto" w:sz="4" w:space="0"/>
              <w:right w:val="single" w:color="auto" w:sz="4" w:space="0"/>
            </w:tcBorders>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住房公积金</w:t>
            </w: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19.09</w:t>
            </w:r>
          </w:p>
        </w:tc>
        <w:tc>
          <w:tcPr>
            <w:tcW w:w="1704" w:type="dxa"/>
            <w:tcBorders>
              <w:top w:val="single" w:color="auto" w:sz="4" w:space="0"/>
              <w:left w:val="single" w:color="auto" w:sz="4" w:space="0"/>
              <w:bottom w:val="single" w:color="auto" w:sz="4" w:space="0"/>
              <w:right w:val="single" w:color="auto" w:sz="4" w:space="0"/>
            </w:tcBorders>
          </w:tcPr>
          <w:p>
            <w:pPr>
              <w:widowControl/>
              <w:spacing w:beforeLines="30"/>
              <w:jc w:val="right"/>
              <w:rPr>
                <w:rFonts w:eastAsia="宋体"/>
                <w:kern w:val="0"/>
                <w:sz w:val="20"/>
              </w:rPr>
            </w:pPr>
            <w:r>
              <w:rPr>
                <w:rFonts w:hint="eastAsia" w:eastAsia="宋体"/>
                <w:kern w:val="0"/>
                <w:sz w:val="20"/>
              </w:rPr>
              <w:t>19.09</w:t>
            </w:r>
          </w:p>
        </w:tc>
        <w:tc>
          <w:tcPr>
            <w:tcW w:w="1831" w:type="dxa"/>
            <w:tcBorders>
              <w:top w:val="single" w:color="auto" w:sz="4" w:space="0"/>
              <w:left w:val="single" w:color="auto" w:sz="4" w:space="0"/>
              <w:bottom w:val="single" w:color="auto" w:sz="4" w:space="0"/>
              <w:right w:val="single" w:color="auto" w:sz="4" w:space="0"/>
            </w:tcBorders>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hint="eastAsia" w:eastAsia="宋体"/>
                <w:kern w:val="0"/>
                <w:sz w:val="20"/>
              </w:rPr>
            </w:pPr>
          </w:p>
        </w:tc>
        <w:tc>
          <w:tcPr>
            <w:tcW w:w="1704" w:type="dxa"/>
            <w:tcBorders>
              <w:top w:val="single" w:color="auto" w:sz="4" w:space="0"/>
              <w:left w:val="single" w:color="auto" w:sz="4" w:space="0"/>
              <w:bottom w:val="single" w:color="auto" w:sz="4" w:space="0"/>
              <w:right w:val="single" w:color="auto" w:sz="4" w:space="0"/>
            </w:tcBorders>
          </w:tcPr>
          <w:p>
            <w:pPr>
              <w:widowControl/>
              <w:spacing w:beforeLines="30"/>
              <w:jc w:val="right"/>
            </w:pPr>
          </w:p>
        </w:tc>
        <w:tc>
          <w:tcPr>
            <w:tcW w:w="1831" w:type="dxa"/>
            <w:tcBorders>
              <w:top w:val="single" w:color="auto" w:sz="4" w:space="0"/>
              <w:left w:val="single" w:color="auto" w:sz="4" w:space="0"/>
              <w:bottom w:val="single" w:color="auto" w:sz="4" w:space="0"/>
              <w:right w:val="single" w:color="auto" w:sz="4" w:space="0"/>
            </w:tcBorders>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400" w:firstLineChars="200"/>
              <w:jc w:val="left"/>
              <w:textAlignment w:val="center"/>
              <w:rPr>
                <w:rFonts w:hint="eastAsia" w:eastAsia="宋体"/>
                <w:color w:val="000000"/>
                <w:kern w:val="0"/>
                <w:sz w:val="20"/>
              </w:rPr>
            </w:pP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hint="eastAsia" w:eastAsia="宋体"/>
                <w:kern w:val="0"/>
                <w:sz w:val="20"/>
              </w:rPr>
            </w:pPr>
          </w:p>
        </w:tc>
        <w:tc>
          <w:tcPr>
            <w:tcW w:w="1704" w:type="dxa"/>
            <w:tcBorders>
              <w:top w:val="single" w:color="auto" w:sz="4" w:space="0"/>
              <w:left w:val="single" w:color="auto" w:sz="4" w:space="0"/>
              <w:bottom w:val="single" w:color="auto" w:sz="4" w:space="0"/>
              <w:right w:val="single" w:color="auto" w:sz="4" w:space="0"/>
            </w:tcBorders>
          </w:tcPr>
          <w:p>
            <w:pPr>
              <w:widowControl/>
              <w:spacing w:beforeLines="30"/>
              <w:jc w:val="right"/>
            </w:pPr>
          </w:p>
        </w:tc>
        <w:tc>
          <w:tcPr>
            <w:tcW w:w="1831" w:type="dxa"/>
            <w:tcBorders>
              <w:top w:val="single" w:color="auto" w:sz="4" w:space="0"/>
              <w:left w:val="single" w:color="auto" w:sz="4" w:space="0"/>
              <w:bottom w:val="single" w:color="auto" w:sz="4" w:space="0"/>
              <w:right w:val="single" w:color="auto" w:sz="4" w:space="0"/>
            </w:tcBorders>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tcPr>
          <w:p>
            <w:pPr>
              <w:widowControl/>
              <w:spacing w:beforeLines="30"/>
              <w:jc w:val="right"/>
              <w:rPr>
                <w:rFonts w:hint="eastAsia" w:eastAsia="宋体"/>
                <w:kern w:val="0"/>
                <w:sz w:val="20"/>
              </w:rPr>
            </w:pPr>
            <w:r>
              <w:rPr>
                <w:rFonts w:hint="eastAsia" w:eastAsia="宋体"/>
                <w:kern w:val="0"/>
                <w:sz w:val="20"/>
              </w:rPr>
              <w:t>248.76</w:t>
            </w:r>
          </w:p>
        </w:tc>
        <w:tc>
          <w:tcPr>
            <w:tcW w:w="1704" w:type="dxa"/>
            <w:tcBorders>
              <w:top w:val="single" w:color="auto" w:sz="4" w:space="0"/>
              <w:left w:val="single" w:color="auto" w:sz="4" w:space="0"/>
              <w:bottom w:val="single" w:color="auto" w:sz="4" w:space="0"/>
              <w:right w:val="single" w:color="auto" w:sz="4" w:space="0"/>
            </w:tcBorders>
          </w:tcPr>
          <w:p>
            <w:pPr>
              <w:widowControl/>
              <w:spacing w:beforeLines="30"/>
              <w:jc w:val="right"/>
              <w:rPr>
                <w:sz w:val="24"/>
                <w:szCs w:val="24"/>
              </w:rPr>
            </w:pPr>
            <w:r>
              <w:rPr>
                <w:rFonts w:hint="eastAsia"/>
                <w:sz w:val="24"/>
                <w:szCs w:val="24"/>
              </w:rPr>
              <w:t>235.75</w:t>
            </w:r>
          </w:p>
        </w:tc>
        <w:tc>
          <w:tcPr>
            <w:tcW w:w="1831" w:type="dxa"/>
            <w:tcBorders>
              <w:top w:val="single" w:color="auto" w:sz="4" w:space="0"/>
              <w:left w:val="single" w:color="auto" w:sz="4" w:space="0"/>
              <w:bottom w:val="single" w:color="auto" w:sz="4" w:space="0"/>
              <w:right w:val="single" w:color="auto" w:sz="4" w:space="0"/>
            </w:tcBorders>
          </w:tcPr>
          <w:p>
            <w:pPr>
              <w:widowControl/>
              <w:spacing w:beforeLines="30"/>
              <w:jc w:val="right"/>
              <w:rPr>
                <w:sz w:val="24"/>
                <w:szCs w:val="24"/>
              </w:rPr>
            </w:pPr>
            <w:r>
              <w:rPr>
                <w:rFonts w:hint="eastAsia"/>
                <w:sz w:val="24"/>
                <w:szCs w:val="24"/>
              </w:rPr>
              <w:t>13.01</w:t>
            </w:r>
          </w:p>
        </w:tc>
      </w:tr>
    </w:tbl>
    <w:p>
      <w:pPr>
        <w:rPr>
          <w:sz w:val="16"/>
          <w:szCs w:val="16"/>
        </w:rPr>
      </w:pPr>
    </w:p>
    <w:p>
      <w:pPr>
        <w:rPr>
          <w:sz w:val="16"/>
          <w:szCs w:val="16"/>
        </w:rPr>
      </w:pPr>
    </w:p>
    <w:p>
      <w:pPr>
        <w:rPr>
          <w:sz w:val="16"/>
          <w:szCs w:val="16"/>
        </w:rPr>
      </w:pPr>
    </w:p>
    <w:p>
      <w:pPr>
        <w:ind w:firstLine="636"/>
        <w:rPr>
          <w:rFonts w:hAnsi="楷体" w:eastAsia="楷体"/>
        </w:rPr>
      </w:pPr>
    </w:p>
    <w:tbl>
      <w:tblPr>
        <w:tblStyle w:val="9"/>
        <w:tblW w:w="9114" w:type="dxa"/>
        <w:jc w:val="center"/>
        <w:tblLayout w:type="fixed"/>
        <w:tblCellMar>
          <w:top w:w="0" w:type="dxa"/>
          <w:left w:w="108" w:type="dxa"/>
          <w:bottom w:w="0" w:type="dxa"/>
          <w:right w:w="108" w:type="dxa"/>
        </w:tblCellMar>
      </w:tblPr>
      <w:tblGrid>
        <w:gridCol w:w="4783"/>
        <w:gridCol w:w="1646"/>
        <w:gridCol w:w="1378"/>
        <w:gridCol w:w="1307"/>
      </w:tblGrid>
      <w:tr>
        <w:tblPrEx>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vAlign w:val="center"/>
          </w:tcPr>
          <w:p>
            <w:pPr>
              <w:widowControl/>
              <w:jc w:val="center"/>
              <w:rPr>
                <w:rFonts w:eastAsia="宋体"/>
                <w:color w:val="000000"/>
                <w:kern w:val="0"/>
                <w:sz w:val="44"/>
                <w:szCs w:val="44"/>
              </w:rPr>
            </w:pPr>
            <w:r>
              <w:rPr>
                <w:rFonts w:hAnsi="楷体" w:eastAsia="楷体"/>
              </w:rPr>
              <w:br w:type="page"/>
            </w:r>
            <w:r>
              <w:rPr>
                <w:rFonts w:eastAsia="方正小标宋简体"/>
                <w:color w:val="000000"/>
                <w:kern w:val="0"/>
                <w:sz w:val="44"/>
                <w:szCs w:val="44"/>
              </w:rPr>
              <w:t>一般公共预算“三公”经费支出表</w:t>
            </w:r>
          </w:p>
        </w:tc>
      </w:tr>
      <w:tr>
        <w:tblPrEx>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22</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vAlign w:val="center"/>
          </w:tcPr>
          <w:p>
            <w:pPr>
              <w:widowControl/>
              <w:jc w:val="left"/>
              <w:rPr>
                <w:rFonts w:hint="eastAsia" w:eastAsia="仿宋_GB2312"/>
                <w:color w:val="000000"/>
                <w:kern w:val="0"/>
                <w:sz w:val="28"/>
                <w:szCs w:val="28"/>
                <w:lang w:eastAsia="zh-CN"/>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22</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eastAsia="宋体"/>
                <w:color w:val="000000"/>
                <w:kern w:val="0"/>
                <w:sz w:val="28"/>
                <w:szCs w:val="28"/>
                <w:u w:val="single"/>
              </w:rPr>
              <w:t xml:space="preserve">  </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22</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u w:val="single"/>
              </w:rPr>
              <w:t xml:space="preserve"> </w:t>
            </w:r>
            <w:r>
              <w:rPr>
                <w:rFonts w:hint="eastAsia" w:eastAsia="宋体"/>
                <w:color w:val="000000"/>
                <w:kern w:val="0"/>
                <w:sz w:val="28"/>
                <w:szCs w:val="28"/>
                <w:u w:val="single"/>
              </w:rPr>
              <w:t>25</w:t>
            </w:r>
            <w:r>
              <w:rPr>
                <w:rFonts w:eastAsia="宋体"/>
                <w:color w:val="000000"/>
                <w:kern w:val="0"/>
                <w:sz w:val="28"/>
                <w:szCs w:val="28"/>
                <w:u w:val="single"/>
              </w:rPr>
              <w:t xml:space="preserve"> </w:t>
            </w:r>
            <w:r>
              <w:rPr>
                <w:color w:val="000000"/>
                <w:kern w:val="0"/>
                <w:sz w:val="28"/>
                <w:szCs w:val="28"/>
              </w:rPr>
              <w:t>人，其中：在职人员</w:t>
            </w:r>
            <w:r>
              <w:rPr>
                <w:rFonts w:eastAsia="宋体"/>
                <w:color w:val="000000"/>
                <w:kern w:val="0"/>
                <w:sz w:val="28"/>
                <w:szCs w:val="28"/>
                <w:u w:val="single"/>
              </w:rPr>
              <w:t xml:space="preserve"> </w:t>
            </w:r>
            <w:r>
              <w:rPr>
                <w:rFonts w:hint="eastAsia" w:eastAsia="宋体"/>
                <w:color w:val="000000"/>
                <w:kern w:val="0"/>
                <w:sz w:val="28"/>
                <w:szCs w:val="28"/>
                <w:u w:val="single"/>
              </w:rPr>
              <w:t>24</w:t>
            </w:r>
            <w:r>
              <w:rPr>
                <w:rFonts w:eastAsia="宋体"/>
                <w:color w:val="000000"/>
                <w:kern w:val="0"/>
                <w:sz w:val="28"/>
                <w:szCs w:val="28"/>
                <w:u w:val="single"/>
              </w:rPr>
              <w:t xml:space="preserve"> </w:t>
            </w:r>
            <w:r>
              <w:rPr>
                <w:color w:val="000000"/>
                <w:kern w:val="0"/>
                <w:sz w:val="28"/>
                <w:szCs w:val="28"/>
              </w:rPr>
              <w:t>人，</w:t>
            </w:r>
            <w:r>
              <w:rPr>
                <w:rFonts w:hint="eastAsia"/>
                <w:color w:val="000000"/>
                <w:kern w:val="0"/>
                <w:sz w:val="28"/>
                <w:szCs w:val="28"/>
              </w:rPr>
              <w:t>离岗创业1人，</w:t>
            </w:r>
            <w:r>
              <w:rPr>
                <w:color w:val="000000"/>
                <w:kern w:val="0"/>
                <w:sz w:val="28"/>
                <w:szCs w:val="28"/>
              </w:rPr>
              <w:t>离退休人员</w:t>
            </w:r>
            <w:r>
              <w:rPr>
                <w:rFonts w:eastAsia="宋体"/>
                <w:color w:val="000000"/>
                <w:kern w:val="0"/>
                <w:sz w:val="28"/>
                <w:szCs w:val="28"/>
                <w:u w:val="single"/>
              </w:rPr>
              <w:t xml:space="preserve">  </w:t>
            </w:r>
            <w:r>
              <w:rPr>
                <w:color w:val="000000"/>
                <w:kern w:val="0"/>
                <w:sz w:val="28"/>
                <w:szCs w:val="28"/>
              </w:rPr>
              <w:t>人。</w:t>
            </w:r>
          </w:p>
          <w:p>
            <w:pPr>
              <w:widowControl/>
              <w:jc w:val="left"/>
              <w:rPr>
                <w:color w:val="000000"/>
                <w:kern w:val="0"/>
                <w:sz w:val="28"/>
                <w:szCs w:val="28"/>
              </w:rPr>
            </w:pPr>
            <w:r>
              <w:rPr>
                <w:rFonts w:hint="eastAsia"/>
                <w:color w:val="000000"/>
                <w:kern w:val="0"/>
                <w:sz w:val="28"/>
                <w:szCs w:val="28"/>
              </w:rPr>
              <w:t xml:space="preserve">       3、按照吉林省财政厅《关于规范按权责发生制列支事项的通知》（吉财办〔2021〕900号）及《吉林省省级部门财政拨款结转和结余资金管理办法》（吉财预〔2021〕1120号）要求，2021年下达预算单位未支出在财政预算结转部分列入2022年年初预算，坚持“过紧日子”思想，在2022年“三公”经费预算中“上年结转”额度在2022年预算执行中由省财政统一收回，不再形成“三公经费”支出。</w:t>
            </w:r>
          </w:p>
        </w:tc>
      </w:tr>
    </w:tbl>
    <w:p>
      <w:pPr>
        <w:ind w:firstLine="640" w:firstLineChars="200"/>
        <w:rPr>
          <w:rFonts w:hint="eastAsia" w:hAnsi="楷体" w:eastAsia="楷体"/>
        </w:rPr>
      </w:pPr>
    </w:p>
    <w:p>
      <w:pPr>
        <w:ind w:firstLine="640" w:firstLineChars="200"/>
        <w:rPr>
          <w:rFonts w:eastAsia="楷体"/>
          <w:kern w:val="0"/>
          <w:szCs w:val="32"/>
        </w:rPr>
      </w:pPr>
    </w:p>
    <w:tbl>
      <w:tblPr>
        <w:tblStyle w:val="9"/>
        <w:tblpPr w:leftFromText="180" w:rightFromText="180" w:vertAnchor="page" w:horzAnchor="page" w:tblpXSpec="center" w:tblpY="2898"/>
        <w:tblW w:w="8789" w:type="dxa"/>
        <w:jc w:val="center"/>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vAlign w:val="center"/>
          </w:tcPr>
          <w:tbl>
            <w:tblPr>
              <w:tblStyle w:val="9"/>
              <w:tblpPr w:leftFromText="180" w:rightFromText="180" w:vertAnchor="page" w:horzAnchor="page" w:tblpX="1912" w:tblpY="202"/>
              <w:tblW w:w="8364" w:type="dxa"/>
              <w:tblInd w:w="0" w:type="dxa"/>
              <w:tblLayout w:type="fixed"/>
              <w:tblCellMar>
                <w:top w:w="15" w:type="dxa"/>
                <w:left w:w="15" w:type="dxa"/>
                <w:bottom w:w="15" w:type="dxa"/>
                <w:right w:w="15" w:type="dxa"/>
              </w:tblCellMar>
            </w:tblPr>
            <w:tblGrid>
              <w:gridCol w:w="2552"/>
              <w:gridCol w:w="2147"/>
              <w:gridCol w:w="1704"/>
              <w:gridCol w:w="1961"/>
            </w:tblGrid>
            <w:tr>
              <w:tblPrEx>
                <w:tblCellMar>
                  <w:top w:w="15" w:type="dxa"/>
                  <w:left w:w="15" w:type="dxa"/>
                  <w:bottom w:w="15" w:type="dxa"/>
                  <w:right w:w="15" w:type="dxa"/>
                </w:tblCellMar>
              </w:tblPrEx>
              <w:trPr>
                <w:trHeight w:val="390" w:hRule="atLeast"/>
              </w:trPr>
              <w:tc>
                <w:tcPr>
                  <w:tcW w:w="8364"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9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eastAsia="楷体"/>
          <w:kern w:val="0"/>
          <w:szCs w:val="32"/>
        </w:rPr>
      </w:pPr>
    </w:p>
    <w:p>
      <w:pPr>
        <w:ind w:firstLine="640" w:firstLineChars="200"/>
        <w:rPr>
          <w:rFonts w:hint="eastAsia" w:eastAsia="楷体"/>
          <w:kern w:val="0"/>
          <w:szCs w:val="32"/>
        </w:rPr>
      </w:pPr>
      <w:r>
        <w:rPr>
          <w:rFonts w:eastAsia="楷体"/>
          <w:kern w:val="0"/>
          <w:szCs w:val="32"/>
        </w:rPr>
        <w:t xml:space="preserve"> </w:t>
      </w:r>
    </w:p>
    <w:p>
      <w:pPr>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9"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063"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107"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864"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498" w:type="dxa"/>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628" w:type="dxa"/>
            <w:gridSpan w:val="3"/>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562" w:type="dxa"/>
            <w:gridSpan w:val="5"/>
            <w:tcBorders>
              <w:top w:val="nil"/>
              <w:left w:val="nil"/>
              <w:right w:val="nil"/>
            </w:tcBorders>
            <w:vAlign w:val="center"/>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2170" w:type="dxa"/>
            <w:gridSpan w:val="2"/>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864"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w:t>
            </w:r>
          </w:p>
        </w:tc>
        <w:tc>
          <w:tcPr>
            <w:tcW w:w="498"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628"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694" w:type="dxa"/>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443" w:type="dxa"/>
            <w:vMerge w:val="restart"/>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财政专户</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管理资金</w:t>
            </w:r>
          </w:p>
        </w:tc>
        <w:tc>
          <w:tcPr>
            <w:tcW w:w="425" w:type="dxa"/>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59" w:type="dxa"/>
            <w:vMerge w:val="continue"/>
            <w:vAlign w:val="center"/>
          </w:tcPr>
          <w:p>
            <w:pPr>
              <w:autoSpaceDN w:val="0"/>
              <w:jc w:val="center"/>
              <w:textAlignment w:val="center"/>
              <w:rPr>
                <w:rFonts w:ascii="Calibri" w:hAnsi="Calibri" w:eastAsia="华文细黑"/>
                <w:color w:val="000000"/>
                <w:sz w:val="20"/>
                <w:szCs w:val="22"/>
              </w:rPr>
            </w:pPr>
          </w:p>
        </w:tc>
        <w:tc>
          <w:tcPr>
            <w:tcW w:w="106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07"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二级项目</w:t>
            </w:r>
          </w:p>
        </w:tc>
        <w:tc>
          <w:tcPr>
            <w:tcW w:w="864" w:type="dxa"/>
            <w:vMerge w:val="continue"/>
            <w:vAlign w:val="center"/>
          </w:tcPr>
          <w:p>
            <w:pPr>
              <w:autoSpaceDN w:val="0"/>
              <w:jc w:val="center"/>
              <w:textAlignment w:val="center"/>
              <w:rPr>
                <w:rFonts w:ascii="Calibri" w:hAnsi="Calibri" w:eastAsia="华文细黑"/>
                <w:color w:val="000000"/>
                <w:sz w:val="20"/>
                <w:szCs w:val="22"/>
              </w:rPr>
            </w:pPr>
          </w:p>
        </w:tc>
        <w:tc>
          <w:tcPr>
            <w:tcW w:w="498" w:type="dxa"/>
            <w:vMerge w:val="continue"/>
            <w:vAlign w:val="center"/>
          </w:tcPr>
          <w:p>
            <w:pPr>
              <w:autoSpaceDN w:val="0"/>
              <w:jc w:val="center"/>
              <w:textAlignment w:val="center"/>
              <w:rPr>
                <w:rFonts w:ascii="Calibri" w:hAnsi="Calibri" w:eastAsia="华文细黑"/>
                <w:color w:val="000000"/>
                <w:sz w:val="20"/>
                <w:szCs w:val="22"/>
              </w:rPr>
            </w:pPr>
          </w:p>
        </w:tc>
        <w:tc>
          <w:tcPr>
            <w:tcW w:w="553"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54"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21"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经营预算</w:t>
            </w:r>
          </w:p>
        </w:tc>
        <w:tc>
          <w:tcPr>
            <w:tcW w:w="564"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32"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98" w:type="dxa"/>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3" w:type="dxa"/>
            <w:vMerge w:val="continue"/>
            <w:vAlign w:val="center"/>
          </w:tcPr>
          <w:p>
            <w:pPr>
              <w:autoSpaceDN w:val="0"/>
              <w:jc w:val="center"/>
              <w:textAlignment w:val="center"/>
              <w:rPr>
                <w:rFonts w:ascii="Calibri" w:hAnsi="Calibri" w:eastAsia="华文细黑"/>
                <w:color w:val="000000"/>
                <w:sz w:val="20"/>
                <w:szCs w:val="22"/>
              </w:rPr>
            </w:pPr>
          </w:p>
        </w:tc>
        <w:tc>
          <w:tcPr>
            <w:tcW w:w="425" w:type="dxa"/>
            <w:vMerge w:val="continue"/>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vAlign w:val="center"/>
          </w:tcPr>
          <w:p>
            <w:pPr>
              <w:spacing w:line="700" w:lineRule="exact"/>
              <w:jc w:val="center"/>
              <w:rPr>
                <w:rFonts w:ascii="Calibri" w:hAnsi="Calibri" w:eastAsia="楷体"/>
                <w:kern w:val="0"/>
                <w:szCs w:val="32"/>
              </w:rPr>
            </w:pPr>
          </w:p>
        </w:tc>
        <w:tc>
          <w:tcPr>
            <w:tcW w:w="1063" w:type="dxa"/>
            <w:vAlign w:val="center"/>
          </w:tcPr>
          <w:p>
            <w:pPr>
              <w:spacing w:line="700" w:lineRule="exact"/>
              <w:jc w:val="center"/>
              <w:rPr>
                <w:rFonts w:ascii="Calibri" w:hAnsi="Calibri" w:eastAsia="楷体"/>
                <w:kern w:val="0"/>
                <w:szCs w:val="3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063" w:type="dxa"/>
            <w:vAlign w:val="center"/>
          </w:tcPr>
          <w:p>
            <w:pPr>
              <w:autoSpaceDN w:val="0"/>
              <w:jc w:val="center"/>
              <w:textAlignment w:val="center"/>
              <w:rPr>
                <w:rFonts w:ascii="Calibri" w:hAnsi="Calibri" w:eastAsia="华文细黑"/>
                <w:color w:val="000000"/>
                <w:sz w:val="20"/>
                <w:szCs w:val="22"/>
              </w:rPr>
            </w:pPr>
          </w:p>
        </w:tc>
        <w:tc>
          <w:tcPr>
            <w:tcW w:w="1107" w:type="dxa"/>
            <w:vAlign w:val="center"/>
          </w:tcPr>
          <w:p>
            <w:pPr>
              <w:spacing w:line="700" w:lineRule="exact"/>
              <w:jc w:val="center"/>
              <w:rPr>
                <w:rFonts w:ascii="Calibri" w:hAnsi="Calibri" w:eastAsia="楷体"/>
                <w:kern w:val="0"/>
                <w:szCs w:val="32"/>
              </w:rPr>
            </w:pPr>
          </w:p>
        </w:tc>
        <w:tc>
          <w:tcPr>
            <w:tcW w:w="864" w:type="dxa"/>
            <w:vAlign w:val="center"/>
          </w:tcPr>
          <w:p>
            <w:pPr>
              <w:spacing w:line="700" w:lineRule="exact"/>
              <w:jc w:val="center"/>
              <w:rPr>
                <w:rFonts w:ascii="Calibri" w:hAnsi="Calibri" w:eastAsia="楷体"/>
                <w:kern w:val="0"/>
                <w:szCs w:val="32"/>
              </w:rPr>
            </w:pPr>
          </w:p>
        </w:tc>
        <w:tc>
          <w:tcPr>
            <w:tcW w:w="498" w:type="dxa"/>
            <w:vAlign w:val="center"/>
          </w:tcPr>
          <w:p>
            <w:pPr>
              <w:spacing w:line="700" w:lineRule="exact"/>
              <w:jc w:val="center"/>
              <w:rPr>
                <w:rFonts w:ascii="Calibri" w:hAnsi="Calibri" w:eastAsia="楷体"/>
                <w:kern w:val="0"/>
                <w:szCs w:val="32"/>
              </w:rPr>
            </w:pPr>
          </w:p>
        </w:tc>
        <w:tc>
          <w:tcPr>
            <w:tcW w:w="553" w:type="dxa"/>
            <w:vAlign w:val="center"/>
          </w:tcPr>
          <w:p>
            <w:pPr>
              <w:spacing w:line="700" w:lineRule="exact"/>
              <w:jc w:val="center"/>
              <w:rPr>
                <w:rFonts w:ascii="Calibri" w:hAnsi="Calibri" w:eastAsia="楷体"/>
                <w:kern w:val="0"/>
                <w:szCs w:val="32"/>
              </w:rPr>
            </w:pPr>
          </w:p>
        </w:tc>
        <w:tc>
          <w:tcPr>
            <w:tcW w:w="554" w:type="dxa"/>
            <w:vAlign w:val="center"/>
          </w:tcPr>
          <w:p>
            <w:pPr>
              <w:spacing w:line="700" w:lineRule="exact"/>
              <w:jc w:val="center"/>
              <w:rPr>
                <w:rFonts w:ascii="Calibri" w:hAnsi="Calibri" w:eastAsia="楷体"/>
                <w:kern w:val="0"/>
                <w:szCs w:val="32"/>
              </w:rPr>
            </w:pPr>
          </w:p>
        </w:tc>
        <w:tc>
          <w:tcPr>
            <w:tcW w:w="521" w:type="dxa"/>
            <w:vAlign w:val="center"/>
          </w:tcPr>
          <w:p>
            <w:pPr>
              <w:spacing w:line="700" w:lineRule="exact"/>
              <w:jc w:val="center"/>
              <w:rPr>
                <w:rFonts w:ascii="Calibri" w:hAnsi="Calibri" w:eastAsia="楷体"/>
                <w:kern w:val="0"/>
                <w:szCs w:val="32"/>
              </w:rPr>
            </w:pPr>
          </w:p>
        </w:tc>
        <w:tc>
          <w:tcPr>
            <w:tcW w:w="564" w:type="dxa"/>
            <w:vAlign w:val="center"/>
          </w:tcPr>
          <w:p>
            <w:pPr>
              <w:spacing w:line="700" w:lineRule="exact"/>
              <w:jc w:val="center"/>
              <w:rPr>
                <w:rFonts w:ascii="Calibri" w:hAnsi="Calibri" w:eastAsia="楷体"/>
                <w:kern w:val="0"/>
                <w:szCs w:val="32"/>
              </w:rPr>
            </w:pPr>
          </w:p>
        </w:tc>
        <w:tc>
          <w:tcPr>
            <w:tcW w:w="532" w:type="dxa"/>
            <w:vAlign w:val="center"/>
          </w:tcPr>
          <w:p>
            <w:pPr>
              <w:spacing w:line="700" w:lineRule="exact"/>
              <w:jc w:val="center"/>
              <w:rPr>
                <w:rFonts w:ascii="Calibri" w:hAnsi="Calibri" w:eastAsia="楷体"/>
                <w:kern w:val="0"/>
                <w:szCs w:val="32"/>
              </w:rPr>
            </w:pPr>
          </w:p>
        </w:tc>
        <w:tc>
          <w:tcPr>
            <w:tcW w:w="598" w:type="dxa"/>
            <w:vAlign w:val="center"/>
          </w:tcPr>
          <w:p>
            <w:pPr>
              <w:spacing w:line="700" w:lineRule="exact"/>
              <w:jc w:val="center"/>
              <w:rPr>
                <w:rFonts w:ascii="Calibri" w:hAnsi="Calibri" w:eastAsia="楷体"/>
                <w:kern w:val="0"/>
                <w:szCs w:val="32"/>
              </w:rPr>
            </w:pPr>
          </w:p>
        </w:tc>
        <w:tc>
          <w:tcPr>
            <w:tcW w:w="443" w:type="dxa"/>
            <w:vAlign w:val="center"/>
          </w:tcPr>
          <w:p>
            <w:pPr>
              <w:spacing w:line="700" w:lineRule="exact"/>
              <w:jc w:val="center"/>
              <w:rPr>
                <w:rFonts w:ascii="Calibri" w:hAnsi="Calibri" w:eastAsia="楷体"/>
                <w:kern w:val="0"/>
                <w:szCs w:val="32"/>
              </w:rPr>
            </w:pPr>
          </w:p>
        </w:tc>
        <w:tc>
          <w:tcPr>
            <w:tcW w:w="425" w:type="dxa"/>
            <w:vAlign w:val="center"/>
          </w:tcPr>
          <w:p>
            <w:pPr>
              <w:spacing w:line="700" w:lineRule="exact"/>
              <w:jc w:val="center"/>
              <w:rPr>
                <w:rFonts w:ascii="Calibri" w:hAnsi="Calibri" w:eastAsia="楷体"/>
                <w:kern w:val="0"/>
                <w:szCs w:val="32"/>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hint="eastAsia"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0" w:type="auto"/>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vAlign w:val="center"/>
          </w:tcPr>
          <w:p>
            <w:pPr>
              <w:widowControl/>
              <w:jc w:val="center"/>
              <w:textAlignment w:val="center"/>
              <w:rPr>
                <w:rFonts w:ascii="黑体" w:hAnsi="宋体" w:eastAsia="黑体" w:cs="黑体"/>
                <w:color w:val="000000"/>
                <w:szCs w:val="32"/>
              </w:rPr>
            </w:pPr>
            <w:r>
              <w:rPr>
                <w:rFonts w:hint="eastAsia" w:eastAsia="方正小标宋简体"/>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lang w:eastAsia="zh-CN"/>
              </w:rPr>
            </w:pPr>
            <w:r>
              <w:rPr>
                <w:rFonts w:hint="eastAsia" w:eastAsia="华文细黑"/>
                <w:color w:val="000000"/>
                <w:sz w:val="20"/>
              </w:rPr>
              <w:t>项目资金</w:t>
            </w:r>
          </w:p>
          <w:p>
            <w:pPr>
              <w:autoSpaceDN w:val="0"/>
              <w:jc w:val="center"/>
              <w:textAlignment w:val="center"/>
              <w:rPr>
                <w:rFonts w:eastAsia="华文细黑"/>
                <w:color w:val="000000"/>
                <w:sz w:val="20"/>
              </w:rPr>
            </w:pP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eastAsia="华文细黑"/>
                <w:color w:val="000000"/>
                <w:sz w:val="20"/>
                <w:lang w:eastAsia="zh-CN"/>
              </w:rPr>
            </w:pPr>
            <w:r>
              <w:rPr>
                <w:rFonts w:hint="eastAsia" w:eastAsia="华文细黑"/>
                <w:color w:val="000000"/>
                <w:sz w:val="20"/>
              </w:rPr>
              <w:t>年度绩效</w:t>
            </w:r>
          </w:p>
          <w:p>
            <w:pPr>
              <w:autoSpaceDN w:val="0"/>
              <w:jc w:val="center"/>
              <w:textAlignment w:val="center"/>
              <w:rPr>
                <w:rFonts w:eastAsia="华文细黑"/>
                <w:color w:val="000000"/>
                <w:sz w:val="20"/>
              </w:rPr>
            </w:pP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p>
        </w:tc>
      </w:tr>
    </w:tbl>
    <w:p>
      <w:pPr>
        <w:spacing w:line="700" w:lineRule="exact"/>
        <w:ind w:firstLine="560" w:firstLineChars="200"/>
        <w:rPr>
          <w:rFonts w:eastAsia="楷体"/>
          <w:kern w:val="0"/>
          <w:sz w:val="28"/>
          <w:szCs w:val="28"/>
        </w:rPr>
      </w:pPr>
    </w:p>
    <w:p>
      <w:pPr>
        <w:spacing w:line="700" w:lineRule="exact"/>
        <w:rPr>
          <w:rFonts w:eastAsia="楷体"/>
          <w:kern w:val="0"/>
          <w:sz w:val="28"/>
          <w:szCs w:val="28"/>
        </w:rPr>
      </w:pPr>
    </w:p>
    <w:p>
      <w:pPr>
        <w:spacing w:line="700" w:lineRule="exact"/>
        <w:ind w:firstLine="640" w:firstLineChars="200"/>
        <w:rPr>
          <w:rFonts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22</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w:t>
      </w:r>
      <w:r>
        <w:rPr>
          <w:rFonts w:hint="eastAsia"/>
          <w:szCs w:val="32"/>
        </w:rPr>
        <w:t>22</w:t>
      </w:r>
      <w:r>
        <w:rPr>
          <w:szCs w:val="32"/>
        </w:rPr>
        <w:t>年收支总预算</w:t>
      </w:r>
      <w:r>
        <w:rPr>
          <w:rFonts w:hint="eastAsia"/>
          <w:szCs w:val="32"/>
        </w:rPr>
        <w:t>248.76</w:t>
      </w:r>
      <w:r>
        <w:rPr>
          <w:szCs w:val="32"/>
        </w:rPr>
        <w:t>万元</w:t>
      </w:r>
      <w:r>
        <w:rPr>
          <w:rFonts w:hint="eastAsia"/>
          <w:szCs w:val="32"/>
        </w:rPr>
        <w:t>，其中：当年预算248.76万元；无上年结转资金。2022年当年预算</w:t>
      </w:r>
      <w:r>
        <w:rPr>
          <w:szCs w:val="32"/>
        </w:rPr>
        <w:t>比20</w:t>
      </w:r>
      <w:r>
        <w:rPr>
          <w:rFonts w:hint="eastAsia"/>
          <w:szCs w:val="32"/>
        </w:rPr>
        <w:t>21</w:t>
      </w:r>
      <w:r>
        <w:rPr>
          <w:szCs w:val="32"/>
        </w:rPr>
        <w:t>年预算增加</w:t>
      </w:r>
      <w:r>
        <w:rPr>
          <w:rFonts w:hint="eastAsia"/>
          <w:szCs w:val="32"/>
        </w:rPr>
        <w:t>4.97</w:t>
      </w:r>
      <w:r>
        <w:rPr>
          <w:szCs w:val="32"/>
        </w:rPr>
        <w:t>万元，主要原因是</w:t>
      </w:r>
      <w:r>
        <w:rPr>
          <w:rFonts w:hint="eastAsia"/>
          <w:szCs w:val="32"/>
        </w:rPr>
        <w:t>职工正常工薪调整</w:t>
      </w:r>
      <w:r>
        <w:rPr>
          <w:szCs w:val="32"/>
        </w:rPr>
        <w:t>。</w:t>
      </w:r>
    </w:p>
    <w:p>
      <w:pPr>
        <w:ind w:firstLine="640" w:firstLineChars="200"/>
        <w:rPr>
          <w:rFonts w:eastAsia="黑体"/>
          <w:szCs w:val="32"/>
        </w:rPr>
      </w:pPr>
      <w:r>
        <w:rPr>
          <w:rFonts w:eastAsia="黑体"/>
          <w:szCs w:val="32"/>
        </w:rPr>
        <w:t>二、20</w:t>
      </w:r>
      <w:r>
        <w:rPr>
          <w:rFonts w:hint="eastAsia" w:eastAsia="黑体"/>
          <w:szCs w:val="32"/>
        </w:rPr>
        <w:t>22</w:t>
      </w:r>
      <w:r>
        <w:rPr>
          <w:rFonts w:eastAsia="黑体"/>
          <w:szCs w:val="32"/>
        </w:rPr>
        <w:t>年收入预算情况</w:t>
      </w:r>
    </w:p>
    <w:p>
      <w:pPr>
        <w:ind w:firstLine="640" w:firstLineChars="200"/>
        <w:rPr>
          <w:szCs w:val="32"/>
        </w:rPr>
      </w:pPr>
      <w:r>
        <w:rPr>
          <w:szCs w:val="32"/>
        </w:rPr>
        <w:t>20</w:t>
      </w:r>
      <w:r>
        <w:rPr>
          <w:rFonts w:hint="eastAsia"/>
          <w:szCs w:val="32"/>
        </w:rPr>
        <w:t>22</w:t>
      </w:r>
      <w:r>
        <w:rPr>
          <w:szCs w:val="32"/>
        </w:rPr>
        <w:t>年收入预算</w:t>
      </w:r>
      <w:r>
        <w:rPr>
          <w:rFonts w:hint="eastAsia"/>
          <w:szCs w:val="32"/>
        </w:rPr>
        <w:t>248.76</w:t>
      </w:r>
      <w:r>
        <w:rPr>
          <w:szCs w:val="32"/>
        </w:rPr>
        <w:t>万元，其中：本年收入</w:t>
      </w:r>
      <w:r>
        <w:rPr>
          <w:rFonts w:hint="eastAsia"/>
          <w:szCs w:val="32"/>
        </w:rPr>
        <w:t>248.76</w:t>
      </w:r>
      <w:r>
        <w:rPr>
          <w:szCs w:val="32"/>
        </w:rPr>
        <w:t>万元，占</w:t>
      </w:r>
      <w:r>
        <w:rPr>
          <w:rFonts w:hint="eastAsia"/>
          <w:szCs w:val="32"/>
        </w:rPr>
        <w:t>100</w:t>
      </w:r>
      <w:r>
        <w:rPr>
          <w:szCs w:val="32"/>
        </w:rPr>
        <w:t>%；</w:t>
      </w:r>
      <w:r>
        <w:rPr>
          <w:rFonts w:hint="eastAsia"/>
          <w:szCs w:val="32"/>
        </w:rPr>
        <w:t>无</w:t>
      </w:r>
      <w:r>
        <w:rPr>
          <w:szCs w:val="32"/>
        </w:rPr>
        <w:t>上年结转</w:t>
      </w:r>
      <w:r>
        <w:rPr>
          <w:rFonts w:hint="eastAsia"/>
          <w:szCs w:val="32"/>
        </w:rPr>
        <w:t>资金。</w:t>
      </w:r>
      <w:r>
        <w:rPr>
          <w:szCs w:val="32"/>
        </w:rPr>
        <w:t>本年收入中，一般公共预算拨款收入</w:t>
      </w:r>
      <w:r>
        <w:rPr>
          <w:rFonts w:hint="eastAsia"/>
          <w:szCs w:val="32"/>
        </w:rPr>
        <w:t>248.76</w:t>
      </w:r>
      <w:r>
        <w:rPr>
          <w:szCs w:val="32"/>
        </w:rPr>
        <w:t>万元，占</w:t>
      </w:r>
      <w:r>
        <w:rPr>
          <w:rFonts w:hint="eastAsia"/>
          <w:szCs w:val="32"/>
        </w:rPr>
        <w:t>100</w:t>
      </w:r>
      <w:r>
        <w:rPr>
          <w:szCs w:val="32"/>
        </w:rPr>
        <w:t>%；政府性基金预算拨款收入</w:t>
      </w:r>
      <w:r>
        <w:rPr>
          <w:rFonts w:hint="eastAsia"/>
          <w:szCs w:val="32"/>
        </w:rPr>
        <w:t>0</w:t>
      </w:r>
      <w:r>
        <w:rPr>
          <w:szCs w:val="32"/>
        </w:rPr>
        <w:t>万元；</w:t>
      </w:r>
      <w:r>
        <w:rPr>
          <w:rFonts w:hint="eastAsia"/>
          <w:szCs w:val="32"/>
        </w:rPr>
        <w:t>国有资本经营</w:t>
      </w:r>
      <w:r>
        <w:rPr>
          <w:szCs w:val="32"/>
        </w:rPr>
        <w:t>预算拨款收入</w:t>
      </w:r>
      <w:r>
        <w:rPr>
          <w:rFonts w:hint="eastAsia"/>
          <w:szCs w:val="32"/>
        </w:rPr>
        <w:t>0</w:t>
      </w:r>
      <w:r>
        <w:rPr>
          <w:szCs w:val="32"/>
        </w:rPr>
        <w:t>万元；</w:t>
      </w:r>
      <w:r>
        <w:rPr>
          <w:rFonts w:hint="eastAsia"/>
          <w:szCs w:val="32"/>
        </w:rPr>
        <w:t>财政专户管理资金收入0</w:t>
      </w:r>
      <w:r>
        <w:rPr>
          <w:szCs w:val="32"/>
        </w:rPr>
        <w:t>万元；事业收入</w:t>
      </w:r>
      <w:r>
        <w:rPr>
          <w:rFonts w:hint="eastAsia"/>
          <w:szCs w:val="32"/>
        </w:rPr>
        <w:t>0</w:t>
      </w:r>
      <w:r>
        <w:rPr>
          <w:szCs w:val="32"/>
        </w:rPr>
        <w:t>万元；</w:t>
      </w:r>
      <w:r>
        <w:rPr>
          <w:rFonts w:hint="eastAsia"/>
          <w:szCs w:val="32"/>
        </w:rPr>
        <w:t>上级补助收入0</w:t>
      </w:r>
      <w:r>
        <w:rPr>
          <w:szCs w:val="32"/>
        </w:rPr>
        <w:t>万元；</w:t>
      </w:r>
      <w:r>
        <w:rPr>
          <w:rFonts w:hint="eastAsia"/>
          <w:szCs w:val="32"/>
        </w:rPr>
        <w:t>附属单位上缴收入0</w:t>
      </w:r>
      <w:r>
        <w:rPr>
          <w:szCs w:val="32"/>
        </w:rPr>
        <w:t>万元；事业单位经营收入</w:t>
      </w:r>
      <w:r>
        <w:rPr>
          <w:rFonts w:hint="eastAsia"/>
          <w:szCs w:val="32"/>
        </w:rPr>
        <w:t>0</w:t>
      </w:r>
      <w:r>
        <w:rPr>
          <w:szCs w:val="32"/>
        </w:rPr>
        <w:t>万元；其他收入</w:t>
      </w:r>
      <w:r>
        <w:rPr>
          <w:rFonts w:hint="eastAsia"/>
          <w:szCs w:val="32"/>
        </w:rPr>
        <w:t>0</w:t>
      </w:r>
      <w:r>
        <w:rPr>
          <w:szCs w:val="32"/>
        </w:rPr>
        <w:t>万元</w:t>
      </w:r>
      <w:r>
        <w:rPr>
          <w:rFonts w:hint="eastAsia"/>
          <w:szCs w:val="32"/>
        </w:rPr>
        <w:t>。</w:t>
      </w:r>
      <w:r>
        <w:rPr>
          <w:szCs w:val="32"/>
        </w:rPr>
        <w:t>上年结转</w:t>
      </w:r>
      <w:r>
        <w:rPr>
          <w:rFonts w:hint="eastAsia"/>
          <w:szCs w:val="32"/>
        </w:rPr>
        <w:t>中，一般公共预算拨款结转0</w:t>
      </w:r>
      <w:r>
        <w:rPr>
          <w:szCs w:val="32"/>
        </w:rPr>
        <w:t>万元；</w:t>
      </w:r>
      <w:r>
        <w:rPr>
          <w:rFonts w:hint="eastAsia"/>
          <w:szCs w:val="32"/>
        </w:rPr>
        <w:t>政府性基金预算拨款结转0</w:t>
      </w:r>
      <w:r>
        <w:rPr>
          <w:szCs w:val="32"/>
        </w:rPr>
        <w:t>万元；</w:t>
      </w:r>
      <w:r>
        <w:rPr>
          <w:rFonts w:hint="eastAsia"/>
          <w:szCs w:val="32"/>
        </w:rPr>
        <w:t>国有资本经营预算拨款结转0</w:t>
      </w:r>
      <w:r>
        <w:rPr>
          <w:szCs w:val="32"/>
        </w:rPr>
        <w:t>万元；</w:t>
      </w:r>
      <w:r>
        <w:rPr>
          <w:rFonts w:hint="eastAsia"/>
          <w:szCs w:val="32"/>
        </w:rPr>
        <w:t>财政专户管理资金结转结余0</w:t>
      </w:r>
      <w:r>
        <w:rPr>
          <w:szCs w:val="32"/>
        </w:rPr>
        <w:t>万元%；</w:t>
      </w:r>
      <w:r>
        <w:rPr>
          <w:rFonts w:hint="eastAsia"/>
          <w:szCs w:val="32"/>
        </w:rPr>
        <w:t>单位资金结转0</w:t>
      </w:r>
      <w:r>
        <w:rPr>
          <w:szCs w:val="32"/>
        </w:rPr>
        <w:t>万元；</w:t>
      </w:r>
      <w:r>
        <w:rPr>
          <w:rFonts w:hint="eastAsia"/>
          <w:szCs w:val="32"/>
        </w:rPr>
        <w:t>用事业基金弥补收支差额0</w:t>
      </w:r>
      <w:r>
        <w:rPr>
          <w:szCs w:val="32"/>
        </w:rPr>
        <w:t>万元</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22</w:t>
      </w:r>
      <w:r>
        <w:rPr>
          <w:rFonts w:eastAsia="黑体"/>
          <w:szCs w:val="32"/>
        </w:rPr>
        <w:t>年支出预算情况</w:t>
      </w:r>
    </w:p>
    <w:p>
      <w:pPr>
        <w:ind w:firstLine="640" w:firstLineChars="200"/>
        <w:rPr>
          <w:szCs w:val="32"/>
        </w:rPr>
      </w:pPr>
      <w:r>
        <w:rPr>
          <w:szCs w:val="32"/>
        </w:rPr>
        <w:t>20</w:t>
      </w:r>
      <w:r>
        <w:rPr>
          <w:rFonts w:hint="eastAsia"/>
          <w:szCs w:val="32"/>
        </w:rPr>
        <w:t>22</w:t>
      </w:r>
      <w:r>
        <w:rPr>
          <w:szCs w:val="32"/>
        </w:rPr>
        <w:t>年支出预算</w:t>
      </w:r>
      <w:r>
        <w:rPr>
          <w:rFonts w:hint="eastAsia"/>
          <w:szCs w:val="32"/>
        </w:rPr>
        <w:t>248.76</w:t>
      </w:r>
      <w:r>
        <w:rPr>
          <w:szCs w:val="32"/>
        </w:rPr>
        <w:t>万元，其中：基本支出</w:t>
      </w:r>
      <w:r>
        <w:rPr>
          <w:rFonts w:hint="eastAsia"/>
          <w:szCs w:val="32"/>
        </w:rPr>
        <w:t>248.76</w:t>
      </w:r>
      <w:r>
        <w:rPr>
          <w:szCs w:val="32"/>
        </w:rPr>
        <w:t>万元，占</w:t>
      </w:r>
      <w:r>
        <w:rPr>
          <w:rFonts w:hint="eastAsia"/>
          <w:szCs w:val="32"/>
        </w:rPr>
        <w:t>100</w:t>
      </w:r>
      <w:r>
        <w:rPr>
          <w:szCs w:val="32"/>
        </w:rPr>
        <w:t>%；项目支出</w:t>
      </w:r>
      <w:r>
        <w:rPr>
          <w:rFonts w:hint="eastAsia"/>
          <w:szCs w:val="32"/>
        </w:rPr>
        <w:t>0</w:t>
      </w:r>
      <w:r>
        <w:rPr>
          <w:szCs w:val="32"/>
        </w:rPr>
        <w:t>万元；事业单位经营支出</w:t>
      </w:r>
      <w:r>
        <w:rPr>
          <w:rFonts w:hint="eastAsia"/>
          <w:szCs w:val="32"/>
        </w:rPr>
        <w:t>0</w:t>
      </w:r>
      <w:r>
        <w:rPr>
          <w:szCs w:val="32"/>
        </w:rPr>
        <w:t>万元；上缴上级支出</w:t>
      </w:r>
      <w:r>
        <w:rPr>
          <w:rFonts w:hint="eastAsia"/>
          <w:szCs w:val="32"/>
        </w:rPr>
        <w:t>0</w:t>
      </w:r>
      <w:r>
        <w:rPr>
          <w:szCs w:val="32"/>
        </w:rPr>
        <w:t>万元；对附属单位补助支出</w:t>
      </w:r>
      <w:r>
        <w:rPr>
          <w:rFonts w:hint="eastAsia"/>
          <w:szCs w:val="32"/>
        </w:rPr>
        <w:t>0</w:t>
      </w:r>
      <w:r>
        <w:rPr>
          <w:szCs w:val="32"/>
        </w:rPr>
        <w:t>万元。</w:t>
      </w:r>
    </w:p>
    <w:p>
      <w:pPr>
        <w:ind w:firstLine="600"/>
        <w:rPr>
          <w:rFonts w:eastAsia="黑体"/>
          <w:szCs w:val="32"/>
        </w:rPr>
      </w:pPr>
      <w:r>
        <w:rPr>
          <w:rFonts w:eastAsia="黑体"/>
          <w:szCs w:val="32"/>
        </w:rPr>
        <w:t>四、20</w:t>
      </w:r>
      <w:r>
        <w:rPr>
          <w:rFonts w:hint="eastAsia" w:eastAsia="黑体"/>
          <w:szCs w:val="32"/>
        </w:rPr>
        <w:t>22</w:t>
      </w:r>
      <w:r>
        <w:rPr>
          <w:rFonts w:eastAsia="黑体"/>
          <w:szCs w:val="32"/>
        </w:rPr>
        <w:t>年财政拨款收支预算情况</w:t>
      </w:r>
    </w:p>
    <w:p>
      <w:pPr>
        <w:ind w:firstLine="600"/>
        <w:rPr>
          <w:szCs w:val="32"/>
        </w:rPr>
      </w:pPr>
      <w:r>
        <w:rPr>
          <w:szCs w:val="32"/>
        </w:rPr>
        <w:t>20</w:t>
      </w:r>
      <w:r>
        <w:rPr>
          <w:rFonts w:hint="eastAsia"/>
          <w:szCs w:val="32"/>
        </w:rPr>
        <w:t>22</w:t>
      </w:r>
      <w:r>
        <w:rPr>
          <w:szCs w:val="32"/>
        </w:rPr>
        <w:t>年财政拨款收支总预算</w:t>
      </w:r>
      <w:r>
        <w:rPr>
          <w:rFonts w:hint="eastAsia"/>
          <w:szCs w:val="32"/>
        </w:rPr>
        <w:t>248.76</w:t>
      </w:r>
      <w:r>
        <w:rPr>
          <w:szCs w:val="32"/>
        </w:rPr>
        <w:t>万元，其中：</w:t>
      </w:r>
      <w:r>
        <w:rPr>
          <w:rFonts w:hint="eastAsia"/>
          <w:szCs w:val="32"/>
        </w:rPr>
        <w:t>本年收入248.76</w:t>
      </w:r>
      <w:r>
        <w:rPr>
          <w:szCs w:val="32"/>
        </w:rPr>
        <w:t>万元</w:t>
      </w:r>
      <w:r>
        <w:rPr>
          <w:rFonts w:hint="eastAsia"/>
          <w:szCs w:val="32"/>
        </w:rPr>
        <w:t>，上年结转0</w:t>
      </w:r>
      <w:r>
        <w:rPr>
          <w:szCs w:val="32"/>
        </w:rPr>
        <w:t>万元</w:t>
      </w:r>
      <w:r>
        <w:rPr>
          <w:rFonts w:hint="eastAsia"/>
          <w:szCs w:val="32"/>
        </w:rPr>
        <w:t>。</w:t>
      </w:r>
      <w:r>
        <w:rPr>
          <w:szCs w:val="32"/>
        </w:rPr>
        <w:t>支出包括：</w:t>
      </w:r>
      <w:r>
        <w:rPr>
          <w:rFonts w:hint="eastAsia"/>
          <w:szCs w:val="32"/>
        </w:rPr>
        <w:t>灾害防治及应急管理支出187.83万元，社会保障和就业支出29.59万元</w:t>
      </w:r>
      <w:r>
        <w:rPr>
          <w:szCs w:val="32"/>
        </w:rPr>
        <w:t>，</w:t>
      </w:r>
      <w:r>
        <w:rPr>
          <w:kern w:val="0"/>
          <w:szCs w:val="32"/>
        </w:rPr>
        <w:t>卫生</w:t>
      </w:r>
      <w:r>
        <w:rPr>
          <w:rFonts w:hint="eastAsia"/>
          <w:kern w:val="0"/>
          <w:szCs w:val="32"/>
        </w:rPr>
        <w:t>健康</w:t>
      </w:r>
      <w:r>
        <w:rPr>
          <w:kern w:val="0"/>
          <w:szCs w:val="32"/>
        </w:rPr>
        <w:t>支出</w:t>
      </w:r>
      <w:r>
        <w:rPr>
          <w:rFonts w:hint="eastAsia"/>
          <w:szCs w:val="32"/>
        </w:rPr>
        <w:t>12.25</w:t>
      </w:r>
      <w:r>
        <w:rPr>
          <w:szCs w:val="32"/>
        </w:rPr>
        <w:t>万元，</w:t>
      </w:r>
      <w:r>
        <w:rPr>
          <w:kern w:val="0"/>
          <w:szCs w:val="32"/>
        </w:rPr>
        <w:t>住房保障支出</w:t>
      </w:r>
      <w:r>
        <w:rPr>
          <w:rFonts w:hint="eastAsia"/>
          <w:szCs w:val="32"/>
        </w:rPr>
        <w:t>19.09</w:t>
      </w:r>
      <w:r>
        <w:rPr>
          <w:szCs w:val="32"/>
        </w:rPr>
        <w:t>万元。</w:t>
      </w:r>
    </w:p>
    <w:p>
      <w:pPr>
        <w:ind w:firstLine="600"/>
        <w:rPr>
          <w:rFonts w:eastAsia="黑体"/>
          <w:szCs w:val="30"/>
        </w:rPr>
      </w:pPr>
      <w:r>
        <w:rPr>
          <w:rFonts w:eastAsia="黑体"/>
          <w:szCs w:val="30"/>
        </w:rPr>
        <w:t>五、20</w:t>
      </w:r>
      <w:r>
        <w:rPr>
          <w:rFonts w:hint="eastAsia" w:eastAsia="黑体"/>
          <w:szCs w:val="30"/>
        </w:rPr>
        <w:t>22</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22</w:t>
      </w:r>
      <w:r>
        <w:rPr>
          <w:szCs w:val="32"/>
        </w:rPr>
        <w:t>年一般公共预算拨款</w:t>
      </w:r>
      <w:r>
        <w:rPr>
          <w:rFonts w:hint="eastAsia"/>
          <w:szCs w:val="32"/>
        </w:rPr>
        <w:t>248.76</w:t>
      </w:r>
      <w:r>
        <w:rPr>
          <w:szCs w:val="32"/>
        </w:rPr>
        <w:t>万元，其中：基本支出</w:t>
      </w:r>
      <w:r>
        <w:rPr>
          <w:rFonts w:hint="eastAsia"/>
          <w:szCs w:val="32"/>
        </w:rPr>
        <w:t>248.76</w:t>
      </w:r>
      <w:r>
        <w:rPr>
          <w:szCs w:val="32"/>
        </w:rPr>
        <w:t>万元，占</w:t>
      </w:r>
      <w:r>
        <w:rPr>
          <w:rFonts w:hint="eastAsia"/>
          <w:szCs w:val="32"/>
        </w:rPr>
        <w:t>100</w:t>
      </w:r>
      <w:r>
        <w:rPr>
          <w:szCs w:val="32"/>
        </w:rPr>
        <w:t>%</w:t>
      </w:r>
      <w:r>
        <w:rPr>
          <w:rFonts w:hint="eastAsia"/>
          <w:szCs w:val="32"/>
        </w:rPr>
        <w:t>。</w:t>
      </w:r>
      <w:r>
        <w:rPr>
          <w:szCs w:val="32"/>
        </w:rPr>
        <w:t xml:space="preserve"> </w:t>
      </w:r>
    </w:p>
    <w:p>
      <w:pPr>
        <w:rPr>
          <w:rFonts w:hint="eastAsia" w:ascii="仿宋_GB2312" w:hAnsi="仿宋"/>
          <w:szCs w:val="32"/>
        </w:rPr>
      </w:pPr>
      <w:r>
        <w:rPr>
          <w:rFonts w:hint="eastAsia"/>
          <w:szCs w:val="32"/>
        </w:rPr>
        <w:t xml:space="preserve">    </w:t>
      </w:r>
      <w:r>
        <w:rPr>
          <w:rFonts w:hint="eastAsia" w:ascii="仿宋_GB2312" w:hAnsi="仿宋"/>
          <w:szCs w:val="32"/>
        </w:rPr>
        <w:t>灾害防治及应急管理支出187.83万元，占75.51_%，主要用于应急管理及应急救援事务。</w:t>
      </w:r>
    </w:p>
    <w:p>
      <w:pPr>
        <w:spacing w:line="520" w:lineRule="exact"/>
        <w:rPr>
          <w:rFonts w:hint="eastAsia"/>
          <w:szCs w:val="32"/>
        </w:rPr>
      </w:pPr>
      <w:r>
        <w:rPr>
          <w:rFonts w:hint="eastAsia"/>
          <w:szCs w:val="32"/>
        </w:rPr>
        <w:t xml:space="preserve">    社会保障和就业支出29.59万元</w:t>
      </w:r>
      <w:r>
        <w:rPr>
          <w:szCs w:val="32"/>
        </w:rPr>
        <w:t>，占</w:t>
      </w:r>
      <w:r>
        <w:rPr>
          <w:rFonts w:hint="eastAsia"/>
          <w:szCs w:val="32"/>
        </w:rPr>
        <w:t>11.89</w:t>
      </w:r>
      <w:r>
        <w:rPr>
          <w:szCs w:val="32"/>
        </w:rPr>
        <w:t>%，主要用于</w:t>
      </w:r>
      <w:r>
        <w:rPr>
          <w:rFonts w:hint="eastAsia"/>
          <w:szCs w:val="32"/>
        </w:rPr>
        <w:t>事业人员养老师保险、失业保险及工伤保险缴费支出</w:t>
      </w:r>
      <w:r>
        <w:rPr>
          <w:szCs w:val="32"/>
        </w:rPr>
        <w:t>。</w:t>
      </w:r>
    </w:p>
    <w:p>
      <w:pPr>
        <w:spacing w:line="520" w:lineRule="exact"/>
        <w:rPr>
          <w:szCs w:val="32"/>
        </w:rPr>
      </w:pPr>
      <w:r>
        <w:rPr>
          <w:rFonts w:hint="eastAsia"/>
          <w:kern w:val="0"/>
          <w:szCs w:val="32"/>
        </w:rPr>
        <w:t xml:space="preserve">    </w:t>
      </w:r>
      <w:r>
        <w:rPr>
          <w:kern w:val="0"/>
          <w:szCs w:val="32"/>
        </w:rPr>
        <w:t>卫生</w:t>
      </w:r>
      <w:r>
        <w:rPr>
          <w:rFonts w:hint="eastAsia"/>
          <w:kern w:val="0"/>
          <w:szCs w:val="32"/>
        </w:rPr>
        <w:t>健康</w:t>
      </w:r>
      <w:r>
        <w:rPr>
          <w:kern w:val="0"/>
          <w:szCs w:val="32"/>
        </w:rPr>
        <w:t>支出</w:t>
      </w:r>
      <w:r>
        <w:rPr>
          <w:rFonts w:hint="eastAsia"/>
          <w:szCs w:val="32"/>
        </w:rPr>
        <w:t>12.25</w:t>
      </w:r>
      <w:r>
        <w:rPr>
          <w:szCs w:val="32"/>
        </w:rPr>
        <w:t>万元</w:t>
      </w:r>
      <w:r>
        <w:rPr>
          <w:rFonts w:hint="eastAsia"/>
          <w:szCs w:val="32"/>
        </w:rPr>
        <w:t>，</w:t>
      </w:r>
      <w:r>
        <w:rPr>
          <w:szCs w:val="32"/>
        </w:rPr>
        <w:t>占</w:t>
      </w:r>
      <w:r>
        <w:rPr>
          <w:rFonts w:hint="eastAsia"/>
          <w:szCs w:val="32"/>
        </w:rPr>
        <w:t>4.93</w:t>
      </w:r>
      <w:r>
        <w:rPr>
          <w:szCs w:val="32"/>
        </w:rPr>
        <w:t>%，主要用于</w:t>
      </w:r>
      <w:r>
        <w:rPr>
          <w:rFonts w:hint="eastAsia"/>
          <w:szCs w:val="32"/>
        </w:rPr>
        <w:t>事业单位人员医疗保险缴费</w:t>
      </w:r>
      <w:r>
        <w:rPr>
          <w:szCs w:val="32"/>
        </w:rPr>
        <w:t>。</w:t>
      </w:r>
    </w:p>
    <w:p>
      <w:pPr>
        <w:spacing w:line="520" w:lineRule="exact"/>
        <w:rPr>
          <w:szCs w:val="32"/>
        </w:rPr>
      </w:pPr>
      <w:r>
        <w:rPr>
          <w:rFonts w:hint="eastAsia"/>
          <w:szCs w:val="32"/>
        </w:rPr>
        <w:t xml:space="preserve">    </w:t>
      </w:r>
      <w:r>
        <w:rPr>
          <w:szCs w:val="32"/>
        </w:rPr>
        <w:t>住房保障（类）支出</w:t>
      </w:r>
      <w:r>
        <w:rPr>
          <w:rFonts w:hint="eastAsia"/>
          <w:szCs w:val="32"/>
        </w:rPr>
        <w:t>19.09</w:t>
      </w:r>
      <w:r>
        <w:rPr>
          <w:szCs w:val="32"/>
        </w:rPr>
        <w:t>万元，占</w:t>
      </w:r>
      <w:r>
        <w:rPr>
          <w:rFonts w:hint="eastAsia"/>
          <w:szCs w:val="32"/>
        </w:rPr>
        <w:t>7.67</w:t>
      </w:r>
      <w:r>
        <w:rPr>
          <w:szCs w:val="32"/>
        </w:rPr>
        <w:t>%，主要用于</w:t>
      </w:r>
      <w:r>
        <w:rPr>
          <w:rFonts w:hint="eastAsia"/>
          <w:szCs w:val="32"/>
        </w:rPr>
        <w:t>事业单位人员缴纳住房公积金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22</w:t>
      </w:r>
      <w:r>
        <w:rPr>
          <w:rFonts w:eastAsia="黑体"/>
          <w:szCs w:val="32"/>
        </w:rPr>
        <w:t>年一般公共预算基本支出情况</w:t>
      </w:r>
    </w:p>
    <w:p>
      <w:pPr>
        <w:ind w:firstLine="640"/>
        <w:rPr>
          <w:szCs w:val="32"/>
        </w:rPr>
      </w:pPr>
      <w:r>
        <w:rPr>
          <w:szCs w:val="32"/>
        </w:rPr>
        <w:t>20</w:t>
      </w:r>
      <w:r>
        <w:rPr>
          <w:rFonts w:hint="eastAsia"/>
          <w:szCs w:val="32"/>
        </w:rPr>
        <w:t>22</w:t>
      </w:r>
      <w:r>
        <w:rPr>
          <w:szCs w:val="32"/>
        </w:rPr>
        <w:t>年一般公共预算基本支出</w:t>
      </w:r>
      <w:r>
        <w:rPr>
          <w:rFonts w:hint="eastAsia"/>
          <w:szCs w:val="32"/>
        </w:rPr>
        <w:t>248.76</w:t>
      </w:r>
      <w:r>
        <w:rPr>
          <w:szCs w:val="32"/>
        </w:rPr>
        <w:t>万元，其中：</w:t>
      </w:r>
    </w:p>
    <w:p>
      <w:pPr>
        <w:ind w:firstLine="640" w:firstLineChars="200"/>
        <w:rPr>
          <w:kern w:val="0"/>
          <w:szCs w:val="32"/>
        </w:rPr>
      </w:pPr>
      <w:r>
        <w:rPr>
          <w:szCs w:val="32"/>
        </w:rPr>
        <w:t>人员经费</w:t>
      </w:r>
      <w:r>
        <w:rPr>
          <w:rFonts w:hint="eastAsia"/>
          <w:szCs w:val="32"/>
        </w:rPr>
        <w:t>235.75</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13.01</w:t>
      </w:r>
      <w:r>
        <w:rPr>
          <w:szCs w:val="32"/>
        </w:rPr>
        <w:t>_万元，主要包括：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p>
    <w:p>
      <w:pPr>
        <w:ind w:firstLine="640" w:firstLineChars="200"/>
        <w:rPr>
          <w:rFonts w:eastAsia="黑体"/>
          <w:szCs w:val="30"/>
        </w:rPr>
      </w:pPr>
      <w:r>
        <w:rPr>
          <w:rFonts w:eastAsia="黑体"/>
          <w:szCs w:val="30"/>
        </w:rPr>
        <w:t>七、20</w:t>
      </w:r>
      <w:r>
        <w:rPr>
          <w:rFonts w:hint="eastAsia" w:eastAsia="黑体"/>
          <w:szCs w:val="30"/>
        </w:rPr>
        <w:t>22</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rFonts w:hint="eastAsia"/>
          <w:szCs w:val="32"/>
        </w:rPr>
      </w:pPr>
      <w:r>
        <w:rPr>
          <w:szCs w:val="32"/>
        </w:rPr>
        <w:t>20</w:t>
      </w:r>
      <w:r>
        <w:rPr>
          <w:rFonts w:hint="eastAsia"/>
          <w:szCs w:val="32"/>
        </w:rPr>
        <w:t>22</w:t>
      </w:r>
      <w:r>
        <w:rPr>
          <w:szCs w:val="32"/>
        </w:rPr>
        <w:t>年“三公”经费预算数为</w:t>
      </w:r>
      <w:r>
        <w:rPr>
          <w:rFonts w:hint="eastAsia"/>
          <w:szCs w:val="32"/>
        </w:rPr>
        <w:t>0</w:t>
      </w:r>
      <w:r>
        <w:rPr>
          <w:szCs w:val="32"/>
        </w:rPr>
        <w:t>万元</w:t>
      </w:r>
      <w:r>
        <w:rPr>
          <w:rFonts w:hint="eastAsia"/>
          <w:szCs w:val="32"/>
        </w:rPr>
        <w:t>；上年结转0万元。</w:t>
      </w:r>
    </w:p>
    <w:p>
      <w:pPr>
        <w:ind w:firstLine="640" w:firstLineChars="200"/>
        <w:rPr>
          <w:rFonts w:eastAsia="黑体"/>
          <w:szCs w:val="32"/>
        </w:rPr>
      </w:pPr>
      <w:r>
        <w:rPr>
          <w:rFonts w:eastAsia="黑体"/>
          <w:szCs w:val="32"/>
        </w:rPr>
        <w:t>八、20</w:t>
      </w:r>
      <w:r>
        <w:rPr>
          <w:rFonts w:hint="eastAsia" w:eastAsia="黑体"/>
          <w:szCs w:val="32"/>
        </w:rPr>
        <w:t>22</w:t>
      </w:r>
      <w:r>
        <w:rPr>
          <w:rFonts w:eastAsia="黑体"/>
          <w:szCs w:val="32"/>
        </w:rPr>
        <w:t>年政府性基金预算支出情况</w:t>
      </w:r>
    </w:p>
    <w:p>
      <w:pPr>
        <w:ind w:firstLine="640"/>
        <w:rPr>
          <w:rFonts w:hint="eastAsia"/>
          <w:szCs w:val="32"/>
        </w:rPr>
      </w:pPr>
      <w:r>
        <w:rPr>
          <w:rFonts w:hint="eastAsia"/>
          <w:szCs w:val="32"/>
        </w:rPr>
        <w:t>2022年</w:t>
      </w:r>
      <w:r>
        <w:rPr>
          <w:rFonts w:eastAsia="楷体"/>
          <w:szCs w:val="32"/>
        </w:rPr>
        <w:t>本部门无政府性基金预算拨款</w:t>
      </w:r>
    </w:p>
    <w:p>
      <w:pPr>
        <w:ind w:firstLine="640" w:firstLineChars="200"/>
        <w:rPr>
          <w:rFonts w:hint="eastAsia" w:eastAsia="黑体"/>
          <w:szCs w:val="32"/>
        </w:rPr>
      </w:pPr>
      <w:r>
        <w:rPr>
          <w:rFonts w:hint="eastAsia" w:eastAsia="黑体"/>
          <w:szCs w:val="32"/>
        </w:rPr>
        <w:t>九</w:t>
      </w:r>
      <w:r>
        <w:rPr>
          <w:rFonts w:eastAsia="黑体"/>
          <w:szCs w:val="32"/>
        </w:rPr>
        <w:t>、20</w:t>
      </w:r>
      <w:r>
        <w:rPr>
          <w:rFonts w:hint="eastAsia" w:eastAsia="黑体"/>
          <w:szCs w:val="32"/>
        </w:rPr>
        <w:t>22</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eastAsia="黑体"/>
          <w:szCs w:val="32"/>
        </w:rPr>
      </w:pPr>
      <w:r>
        <w:rPr>
          <w:rFonts w:hint="eastAsia" w:eastAsia="楷体"/>
          <w:szCs w:val="32"/>
        </w:rPr>
        <w:t>2022年</w:t>
      </w:r>
      <w:r>
        <w:rPr>
          <w:rFonts w:eastAsia="楷体"/>
          <w:szCs w:val="32"/>
        </w:rPr>
        <w:t>本部门无</w:t>
      </w:r>
      <w:r>
        <w:rPr>
          <w:rFonts w:hint="eastAsia" w:eastAsia="楷体"/>
          <w:szCs w:val="32"/>
        </w:rPr>
        <w:t>国有资本经营</w:t>
      </w:r>
      <w:r>
        <w:rPr>
          <w:rFonts w:eastAsia="楷体"/>
          <w:szCs w:val="32"/>
        </w:rPr>
        <w:t>预算拨款</w:t>
      </w:r>
      <w:r>
        <w:rPr>
          <w:rFonts w:hint="eastAsia" w:eastAsia="楷体"/>
          <w:szCs w:val="32"/>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22</w:t>
      </w:r>
      <w:r>
        <w:rPr>
          <w:szCs w:val="32"/>
        </w:rPr>
        <w:t>年部门本级单位的机关运行经费财政拨款预算</w:t>
      </w:r>
      <w:r>
        <w:rPr>
          <w:rFonts w:hint="eastAsia"/>
          <w:szCs w:val="32"/>
        </w:rPr>
        <w:t>248.76</w:t>
      </w:r>
      <w:r>
        <w:rPr>
          <w:szCs w:val="32"/>
        </w:rPr>
        <w:t>万元，比20</w:t>
      </w:r>
      <w:r>
        <w:rPr>
          <w:rFonts w:hint="eastAsia"/>
          <w:szCs w:val="32"/>
        </w:rPr>
        <w:t>21</w:t>
      </w:r>
      <w:r>
        <w:rPr>
          <w:szCs w:val="32"/>
        </w:rPr>
        <w:t>年预算增加</w:t>
      </w:r>
      <w:r>
        <w:rPr>
          <w:rFonts w:hint="eastAsia"/>
          <w:szCs w:val="32"/>
        </w:rPr>
        <w:t>4.97</w:t>
      </w:r>
      <w:r>
        <w:rPr>
          <w:szCs w:val="32"/>
        </w:rPr>
        <w:t>万元，增长</w:t>
      </w:r>
      <w:r>
        <w:rPr>
          <w:rFonts w:hint="eastAsia"/>
          <w:szCs w:val="32"/>
        </w:rPr>
        <w:t>2.04</w:t>
      </w:r>
      <w:r>
        <w:rPr>
          <w:szCs w:val="32"/>
        </w:rPr>
        <w:t>%</w:t>
      </w:r>
      <w:r>
        <w:rPr>
          <w:rFonts w:hint="eastAsia"/>
          <w:szCs w:val="32"/>
        </w:rPr>
        <w:t>，主要原因是</w:t>
      </w:r>
      <w:r>
        <w:rPr>
          <w:szCs w:val="32"/>
        </w:rPr>
        <w:t>_</w:t>
      </w:r>
      <w:r>
        <w:rPr>
          <w:rFonts w:hint="eastAsia"/>
          <w:szCs w:val="32"/>
        </w:rPr>
        <w:t>职工工资正常增加</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22</w:t>
      </w:r>
      <w:r>
        <w:rPr>
          <w:szCs w:val="32"/>
        </w:rPr>
        <w:t>年</w:t>
      </w:r>
      <w:r>
        <w:rPr>
          <w:rFonts w:hint="eastAsia"/>
          <w:szCs w:val="32"/>
        </w:rPr>
        <w:t>本部门无</w:t>
      </w:r>
      <w:r>
        <w:rPr>
          <w:szCs w:val="32"/>
        </w:rPr>
        <w:t>政府采购预算。</w:t>
      </w:r>
    </w:p>
    <w:p>
      <w:pPr>
        <w:spacing w:line="540" w:lineRule="exact"/>
        <w:ind w:firstLine="640" w:firstLineChars="200"/>
        <w:rPr>
          <w:rFonts w:hint="eastAsia" w:eastAsia="楷体"/>
          <w:szCs w:val="32"/>
        </w:rPr>
      </w:pPr>
      <w:r>
        <w:rPr>
          <w:rFonts w:eastAsia="楷体"/>
          <w:szCs w:val="32"/>
        </w:rPr>
        <w:t>（三）国有资产占有使用情况</w:t>
      </w:r>
    </w:p>
    <w:p>
      <w:pPr>
        <w:spacing w:line="540" w:lineRule="exact"/>
        <w:ind w:firstLine="640" w:firstLineChars="200"/>
        <w:rPr>
          <w:rFonts w:eastAsia="楷体"/>
          <w:szCs w:val="32"/>
        </w:rPr>
      </w:pPr>
      <w:r>
        <w:rPr>
          <w:rFonts w:hint="eastAsia" w:eastAsia="楷体"/>
          <w:szCs w:val="32"/>
        </w:rPr>
        <w:t>本部门自2019年机构改革转隶以来与主管局</w:t>
      </w:r>
      <w:r>
        <w:rPr>
          <w:rFonts w:hint="eastAsia" w:eastAsia="楷体"/>
          <w:szCs w:val="32"/>
          <w:lang w:eastAsia="zh-CN"/>
        </w:rPr>
        <w:t>合署办公</w:t>
      </w:r>
      <w:r>
        <w:rPr>
          <w:rFonts w:hint="eastAsia" w:eastAsia="楷体"/>
          <w:szCs w:val="32"/>
        </w:rPr>
        <w:t>，未发生购置国有资产</w:t>
      </w:r>
    </w:p>
    <w:p>
      <w:pPr>
        <w:spacing w:line="540" w:lineRule="exact"/>
        <w:ind w:firstLine="640" w:firstLineChars="200"/>
        <w:rPr>
          <w:szCs w:val="32"/>
        </w:rPr>
      </w:pPr>
      <w:r>
        <w:rPr>
          <w:rFonts w:hint="eastAsia"/>
          <w:szCs w:val="32"/>
        </w:rPr>
        <w:t>截至2021年8月底，部门本级和所属各预算单位共有车辆0辆，土地0平方米，房屋0平方米，单价50万元及以上的通用设备0台/套，单价100万元及以上的专用设备实有数0台/套。</w:t>
      </w:r>
    </w:p>
    <w:p>
      <w:pPr>
        <w:spacing w:line="540" w:lineRule="exact"/>
        <w:ind w:firstLine="640" w:firstLineChars="200"/>
        <w:rPr>
          <w:szCs w:val="32"/>
        </w:rPr>
      </w:pPr>
      <w:r>
        <w:rPr>
          <w:rFonts w:hint="eastAsia"/>
          <w:szCs w:val="32"/>
        </w:rPr>
        <w:t>2022年部门预算安排购置车辆0辆，安排购置土地0平方米，安排购置房屋0平方米，计划新增单价50万元及以上的通用设备0台/套，计划新增单价100万元及以上的专用设备实有数0台/套。</w:t>
      </w:r>
    </w:p>
    <w:p>
      <w:pPr>
        <w:numPr>
          <w:ilvl w:val="0"/>
          <w:numId w:val="2"/>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rPr>
          <w:rFonts w:hint="eastAsia"/>
        </w:rPr>
      </w:pPr>
      <w:r>
        <w:t>202</w:t>
      </w:r>
      <w:r>
        <w:rPr>
          <w:rFonts w:hint="eastAsia"/>
        </w:rPr>
        <w:t>2</w:t>
      </w:r>
      <w:r>
        <w:t>年</w:t>
      </w:r>
      <w:r>
        <w:rPr>
          <w:rFonts w:hint="eastAsia"/>
        </w:rPr>
        <w:t>本部门无</w:t>
      </w:r>
      <w:r>
        <w:t>项目支出</w:t>
      </w:r>
      <w:r>
        <w:rPr>
          <w:rFonts w:hint="eastAsia"/>
        </w:rPr>
        <w:t>。</w:t>
      </w:r>
    </w:p>
    <w:p>
      <w:pPr>
        <w:spacing w:line="540" w:lineRule="exact"/>
        <w:ind w:firstLine="640" w:firstLineChars="200"/>
        <w:rPr>
          <w:rFonts w:eastAsia="楷体"/>
          <w:szCs w:val="32"/>
        </w:rPr>
      </w:pPr>
      <w:r>
        <w:rPr>
          <w:rFonts w:hint="eastAsia" w:eastAsia="楷体"/>
          <w:szCs w:val="32"/>
        </w:rPr>
        <w:t>（五）项目支出绩效目标情况说明</w:t>
      </w:r>
    </w:p>
    <w:p>
      <w:pPr>
        <w:spacing w:line="540" w:lineRule="exact"/>
        <w:ind w:firstLine="640" w:firstLineChars="200"/>
        <w:rPr>
          <w:rFonts w:hint="eastAsia"/>
        </w:rPr>
      </w:pPr>
      <w:r>
        <w:t>202</w:t>
      </w:r>
      <w:r>
        <w:rPr>
          <w:rFonts w:hint="eastAsia"/>
        </w:rPr>
        <w:t>2</w:t>
      </w:r>
      <w:r>
        <w:t>年</w:t>
      </w:r>
      <w:r>
        <w:rPr>
          <w:rFonts w:hint="eastAsia"/>
        </w:rPr>
        <w:t>本部门无</w:t>
      </w:r>
      <w:r>
        <w:t>项目支出</w:t>
      </w:r>
      <w:r>
        <w:rPr>
          <w:rFonts w:hint="eastAsia"/>
        </w:rPr>
        <w:t>，没有绩效情况需要说明。</w:t>
      </w:r>
    </w:p>
    <w:p>
      <w:pPr>
        <w:ind w:firstLine="645"/>
        <w:rPr>
          <w:rFonts w:eastAsia="楷体"/>
          <w:szCs w:val="32"/>
        </w:rPr>
      </w:pPr>
      <w:r>
        <w:rPr>
          <w:rFonts w:hint="eastAsia" w:ascii="宋体" w:hAnsi="宋体"/>
        </w:rPr>
        <w:t>按照全面实施预算绩效管理的要求，结合本部门职能和重点工作，2022年确定</w:t>
      </w:r>
      <w:r>
        <w:rPr>
          <w:rFonts w:hint="eastAsia"/>
          <w:szCs w:val="32"/>
        </w:rPr>
        <w:t>0</w:t>
      </w:r>
      <w:r>
        <w:rPr>
          <w:rFonts w:hint="eastAsia" w:ascii="宋体" w:hAnsi="宋体"/>
        </w:rPr>
        <w:t>个一级项目支出的绩效目标和指标向社会公开，涉及金额</w:t>
      </w:r>
      <w:r>
        <w:rPr>
          <w:rFonts w:hint="eastAsia"/>
          <w:szCs w:val="32"/>
        </w:rPr>
        <w:t>0</w:t>
      </w:r>
      <w:r>
        <w:rPr>
          <w:rFonts w:hint="eastAsia" w:ascii="宋体" w:hAnsi="宋体"/>
        </w:rPr>
        <w:t>万元。</w:t>
      </w:r>
    </w:p>
    <w:p>
      <w:pPr>
        <w:ind w:firstLine="645"/>
        <w:rPr>
          <w:rFonts w:eastAsia="楷体"/>
          <w:szCs w:val="32"/>
        </w:rPr>
      </w:pPr>
    </w:p>
    <w:p>
      <w:pPr>
        <w:ind w:firstLine="640" w:firstLineChars="200"/>
        <w:jc w:val="center"/>
        <w:rPr>
          <w:rFonts w:hint="eastAsia" w:eastAsia="黑体"/>
        </w:rPr>
      </w:pPr>
    </w:p>
    <w:p>
      <w:pPr>
        <w:ind w:firstLine="640" w:firstLineChars="200"/>
        <w:jc w:val="center"/>
        <w:rPr>
          <w:rFonts w:hint="eastAsia" w:eastAsia="黑体"/>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7</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1A2F5"/>
    <w:multiLevelType w:val="singleLevel"/>
    <w:tmpl w:val="5981A2F5"/>
    <w:lvl w:ilvl="0" w:tentative="0">
      <w:start w:val="2"/>
      <w:numFmt w:val="chineseCounting"/>
      <w:suff w:val="nothing"/>
      <w:lvlText w:val="%1、"/>
      <w:lvlJc w:val="left"/>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2"/>
  </w:compat>
  <w:docVars>
    <w:docVar w:name="commondata" w:val="eyJoZGlkIjoiZTY0ZThlMDYyMDM1MWEwMTdiNTRkYzg5NWI3MWI5ZjgifQ=="/>
  </w:docVars>
  <w:rsids>
    <w:rsidRoot w:val="48674ED2"/>
    <w:rsid w:val="000256AF"/>
    <w:rsid w:val="00071249"/>
    <w:rsid w:val="00077BE3"/>
    <w:rsid w:val="000C6D48"/>
    <w:rsid w:val="000C7EE3"/>
    <w:rsid w:val="000D7FB8"/>
    <w:rsid w:val="000F245F"/>
    <w:rsid w:val="00102492"/>
    <w:rsid w:val="00106502"/>
    <w:rsid w:val="001079A1"/>
    <w:rsid w:val="0013603F"/>
    <w:rsid w:val="00145456"/>
    <w:rsid w:val="00153A4A"/>
    <w:rsid w:val="001E2B8D"/>
    <w:rsid w:val="002300BA"/>
    <w:rsid w:val="00292A39"/>
    <w:rsid w:val="002A5441"/>
    <w:rsid w:val="002E7CD8"/>
    <w:rsid w:val="00367BC1"/>
    <w:rsid w:val="00396D8D"/>
    <w:rsid w:val="003E4B22"/>
    <w:rsid w:val="00426F96"/>
    <w:rsid w:val="00487479"/>
    <w:rsid w:val="00490FD2"/>
    <w:rsid w:val="0049259D"/>
    <w:rsid w:val="00514321"/>
    <w:rsid w:val="00584D1B"/>
    <w:rsid w:val="00586A56"/>
    <w:rsid w:val="005D5B16"/>
    <w:rsid w:val="005F314F"/>
    <w:rsid w:val="005F7E57"/>
    <w:rsid w:val="00623896"/>
    <w:rsid w:val="006358AE"/>
    <w:rsid w:val="0065077B"/>
    <w:rsid w:val="006B3914"/>
    <w:rsid w:val="006F4854"/>
    <w:rsid w:val="00722877"/>
    <w:rsid w:val="00737177"/>
    <w:rsid w:val="007638E0"/>
    <w:rsid w:val="00784E56"/>
    <w:rsid w:val="00812796"/>
    <w:rsid w:val="00817DA5"/>
    <w:rsid w:val="00825722"/>
    <w:rsid w:val="00841DA8"/>
    <w:rsid w:val="00851A6F"/>
    <w:rsid w:val="00870789"/>
    <w:rsid w:val="00876AFD"/>
    <w:rsid w:val="00896C22"/>
    <w:rsid w:val="008A3C1F"/>
    <w:rsid w:val="008C034B"/>
    <w:rsid w:val="0091631A"/>
    <w:rsid w:val="00932BEF"/>
    <w:rsid w:val="00983A8D"/>
    <w:rsid w:val="0099630E"/>
    <w:rsid w:val="009B2F41"/>
    <w:rsid w:val="009E093A"/>
    <w:rsid w:val="00A34894"/>
    <w:rsid w:val="00A73E5D"/>
    <w:rsid w:val="00A96058"/>
    <w:rsid w:val="00AB436F"/>
    <w:rsid w:val="00AD4E96"/>
    <w:rsid w:val="00B05DD3"/>
    <w:rsid w:val="00B60748"/>
    <w:rsid w:val="00B62F90"/>
    <w:rsid w:val="00B668F4"/>
    <w:rsid w:val="00B92754"/>
    <w:rsid w:val="00BA7D5D"/>
    <w:rsid w:val="00BB6FD3"/>
    <w:rsid w:val="00BD7752"/>
    <w:rsid w:val="00BE1CDD"/>
    <w:rsid w:val="00C106AC"/>
    <w:rsid w:val="00C36C22"/>
    <w:rsid w:val="00C55740"/>
    <w:rsid w:val="00CA1FFF"/>
    <w:rsid w:val="00CC6E11"/>
    <w:rsid w:val="00CC7209"/>
    <w:rsid w:val="00CE5F7E"/>
    <w:rsid w:val="00D33284"/>
    <w:rsid w:val="00D44841"/>
    <w:rsid w:val="00D54A9F"/>
    <w:rsid w:val="00D55467"/>
    <w:rsid w:val="00D71247"/>
    <w:rsid w:val="00DF0F79"/>
    <w:rsid w:val="00E00855"/>
    <w:rsid w:val="00E22C47"/>
    <w:rsid w:val="00E44127"/>
    <w:rsid w:val="00E56F79"/>
    <w:rsid w:val="00E67450"/>
    <w:rsid w:val="00E80CA7"/>
    <w:rsid w:val="00E80DB1"/>
    <w:rsid w:val="00E82D48"/>
    <w:rsid w:val="00E901F7"/>
    <w:rsid w:val="00EB4B53"/>
    <w:rsid w:val="00EC73B7"/>
    <w:rsid w:val="00EE1F67"/>
    <w:rsid w:val="00F47B19"/>
    <w:rsid w:val="00F7193F"/>
    <w:rsid w:val="00F8523B"/>
    <w:rsid w:val="00FF3C44"/>
    <w:rsid w:val="00FF7928"/>
    <w:rsid w:val="019B69D8"/>
    <w:rsid w:val="020E6D2C"/>
    <w:rsid w:val="031D7D4B"/>
    <w:rsid w:val="0486486A"/>
    <w:rsid w:val="04954460"/>
    <w:rsid w:val="050D06DA"/>
    <w:rsid w:val="05513E94"/>
    <w:rsid w:val="056F5A6D"/>
    <w:rsid w:val="059B3770"/>
    <w:rsid w:val="063949A0"/>
    <w:rsid w:val="06BD5BC7"/>
    <w:rsid w:val="09A0082A"/>
    <w:rsid w:val="0ABA06FE"/>
    <w:rsid w:val="0B5F5ADA"/>
    <w:rsid w:val="0C2A5C84"/>
    <w:rsid w:val="0DA001B0"/>
    <w:rsid w:val="0DEB170B"/>
    <w:rsid w:val="0E4C7841"/>
    <w:rsid w:val="0F3E0406"/>
    <w:rsid w:val="0FD62F63"/>
    <w:rsid w:val="10AE7F82"/>
    <w:rsid w:val="10C93B35"/>
    <w:rsid w:val="11177619"/>
    <w:rsid w:val="112605C8"/>
    <w:rsid w:val="12E711B7"/>
    <w:rsid w:val="136D62BD"/>
    <w:rsid w:val="13F21722"/>
    <w:rsid w:val="1441443C"/>
    <w:rsid w:val="14C12787"/>
    <w:rsid w:val="15593E10"/>
    <w:rsid w:val="159F7E25"/>
    <w:rsid w:val="15F848D0"/>
    <w:rsid w:val="160E1FA5"/>
    <w:rsid w:val="160F2600"/>
    <w:rsid w:val="17765BCA"/>
    <w:rsid w:val="17A027D8"/>
    <w:rsid w:val="1A817DF8"/>
    <w:rsid w:val="1ADC594E"/>
    <w:rsid w:val="1AEB5252"/>
    <w:rsid w:val="1C852172"/>
    <w:rsid w:val="1CA40C0C"/>
    <w:rsid w:val="1CFF4A32"/>
    <w:rsid w:val="1D833200"/>
    <w:rsid w:val="1E3A3FD0"/>
    <w:rsid w:val="1EB55C07"/>
    <w:rsid w:val="1F351A10"/>
    <w:rsid w:val="1FED47E9"/>
    <w:rsid w:val="206816AC"/>
    <w:rsid w:val="22A4003E"/>
    <w:rsid w:val="23EC61F6"/>
    <w:rsid w:val="244C543C"/>
    <w:rsid w:val="24624768"/>
    <w:rsid w:val="259B5BC5"/>
    <w:rsid w:val="25F62C4E"/>
    <w:rsid w:val="26643D6C"/>
    <w:rsid w:val="26764628"/>
    <w:rsid w:val="26FE109D"/>
    <w:rsid w:val="27073E1E"/>
    <w:rsid w:val="27B04AB3"/>
    <w:rsid w:val="28A63332"/>
    <w:rsid w:val="29C45F24"/>
    <w:rsid w:val="2DF8796C"/>
    <w:rsid w:val="2EB22F18"/>
    <w:rsid w:val="2EE12108"/>
    <w:rsid w:val="2EED35E3"/>
    <w:rsid w:val="2F250383"/>
    <w:rsid w:val="2F63610B"/>
    <w:rsid w:val="300965A3"/>
    <w:rsid w:val="30730D6E"/>
    <w:rsid w:val="30B91A70"/>
    <w:rsid w:val="32CF2C5D"/>
    <w:rsid w:val="335402B5"/>
    <w:rsid w:val="339466B2"/>
    <w:rsid w:val="34555AF5"/>
    <w:rsid w:val="35616772"/>
    <w:rsid w:val="35EA1663"/>
    <w:rsid w:val="364C598E"/>
    <w:rsid w:val="36CC2B0F"/>
    <w:rsid w:val="3838492F"/>
    <w:rsid w:val="3887374F"/>
    <w:rsid w:val="39041A07"/>
    <w:rsid w:val="39043B77"/>
    <w:rsid w:val="39670895"/>
    <w:rsid w:val="3A657F9A"/>
    <w:rsid w:val="3A9113D4"/>
    <w:rsid w:val="3AC54F32"/>
    <w:rsid w:val="3B144A0A"/>
    <w:rsid w:val="3BC92948"/>
    <w:rsid w:val="3BE370D4"/>
    <w:rsid w:val="3C29381E"/>
    <w:rsid w:val="3C711E1D"/>
    <w:rsid w:val="3C7F463D"/>
    <w:rsid w:val="3CAE3960"/>
    <w:rsid w:val="3D365BF6"/>
    <w:rsid w:val="3DF23324"/>
    <w:rsid w:val="3EA14040"/>
    <w:rsid w:val="3EE8108D"/>
    <w:rsid w:val="40B80EFF"/>
    <w:rsid w:val="41A35364"/>
    <w:rsid w:val="41C31686"/>
    <w:rsid w:val="42982B4E"/>
    <w:rsid w:val="436B1E42"/>
    <w:rsid w:val="456D114B"/>
    <w:rsid w:val="45EB670F"/>
    <w:rsid w:val="46AB7C0D"/>
    <w:rsid w:val="46D44808"/>
    <w:rsid w:val="47CF49E6"/>
    <w:rsid w:val="48674ED2"/>
    <w:rsid w:val="487708E6"/>
    <w:rsid w:val="49645F71"/>
    <w:rsid w:val="499F5C68"/>
    <w:rsid w:val="4AF16062"/>
    <w:rsid w:val="4B646DDD"/>
    <w:rsid w:val="4B7F44F8"/>
    <w:rsid w:val="4BAC24C5"/>
    <w:rsid w:val="4BFA0656"/>
    <w:rsid w:val="4D730507"/>
    <w:rsid w:val="4D741DD3"/>
    <w:rsid w:val="4DC93207"/>
    <w:rsid w:val="4E8D5761"/>
    <w:rsid w:val="4EF54A85"/>
    <w:rsid w:val="501B3C66"/>
    <w:rsid w:val="504B40C5"/>
    <w:rsid w:val="50987DC2"/>
    <w:rsid w:val="50A4703E"/>
    <w:rsid w:val="5136104F"/>
    <w:rsid w:val="52071113"/>
    <w:rsid w:val="525A440D"/>
    <w:rsid w:val="54741940"/>
    <w:rsid w:val="54810E66"/>
    <w:rsid w:val="54C2556E"/>
    <w:rsid w:val="55480EEF"/>
    <w:rsid w:val="57AE5C26"/>
    <w:rsid w:val="57DD75A9"/>
    <w:rsid w:val="58256ABD"/>
    <w:rsid w:val="59472AC7"/>
    <w:rsid w:val="5AB343F7"/>
    <w:rsid w:val="5ABF50F2"/>
    <w:rsid w:val="5AF76904"/>
    <w:rsid w:val="5B052E7A"/>
    <w:rsid w:val="5B3D7F7E"/>
    <w:rsid w:val="5B7C7777"/>
    <w:rsid w:val="5BEC6771"/>
    <w:rsid w:val="5CA506B9"/>
    <w:rsid w:val="5D5A7C63"/>
    <w:rsid w:val="5E256F6F"/>
    <w:rsid w:val="5F6235A9"/>
    <w:rsid w:val="614125C2"/>
    <w:rsid w:val="624C5C52"/>
    <w:rsid w:val="63DF08E4"/>
    <w:rsid w:val="64C04AFD"/>
    <w:rsid w:val="661A7B69"/>
    <w:rsid w:val="664909C1"/>
    <w:rsid w:val="66C63EB5"/>
    <w:rsid w:val="679461D3"/>
    <w:rsid w:val="6858287E"/>
    <w:rsid w:val="69157114"/>
    <w:rsid w:val="691A443E"/>
    <w:rsid w:val="6A80735F"/>
    <w:rsid w:val="6ACC5E47"/>
    <w:rsid w:val="6AD43ED1"/>
    <w:rsid w:val="6B11024D"/>
    <w:rsid w:val="6B7D5B36"/>
    <w:rsid w:val="6CF120A8"/>
    <w:rsid w:val="714213DD"/>
    <w:rsid w:val="717F272E"/>
    <w:rsid w:val="728027C6"/>
    <w:rsid w:val="73FE7ACC"/>
    <w:rsid w:val="74556746"/>
    <w:rsid w:val="76C17E06"/>
    <w:rsid w:val="76CA67BD"/>
    <w:rsid w:val="774E6400"/>
    <w:rsid w:val="775B0046"/>
    <w:rsid w:val="79700BEF"/>
    <w:rsid w:val="7A090695"/>
    <w:rsid w:val="7AE175F4"/>
    <w:rsid w:val="7B417685"/>
    <w:rsid w:val="7B5220F0"/>
    <w:rsid w:val="7BA169C0"/>
    <w:rsid w:val="7CAD595B"/>
    <w:rsid w:val="7CF65D07"/>
    <w:rsid w:val="7D2975D1"/>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5"/>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11"/>
    <w:autoRedefine/>
    <w:qFormat/>
    <w:uiPriority w:val="0"/>
    <w:rPr>
      <w:rFonts w:hint="default" w:ascii="Arial" w:hAnsi="Arial" w:cs="Arial"/>
      <w:color w:val="000000"/>
      <w:sz w:val="24"/>
      <w:szCs w:val="24"/>
      <w:u w:val="none"/>
    </w:rPr>
  </w:style>
  <w:style w:type="character" w:customStyle="1" w:styleId="14">
    <w:name w:val="页脚 Char"/>
    <w:link w:val="6"/>
    <w:uiPriority w:val="0"/>
    <w:rPr>
      <w:rFonts w:eastAsia="仿宋_GB2312"/>
      <w:kern w:val="2"/>
      <w:sz w:val="18"/>
    </w:rPr>
  </w:style>
  <w:style w:type="character" w:customStyle="1" w:styleId="15">
    <w:name w:val="批注框文本 Char"/>
    <w:link w:val="5"/>
    <w:autoRedefine/>
    <w:qFormat/>
    <w:uiPriority w:val="0"/>
    <w:rPr>
      <w:rFonts w:eastAsia="仿宋_GB2312"/>
      <w:kern w:val="2"/>
      <w:sz w:val="18"/>
      <w:szCs w:val="18"/>
    </w:rPr>
  </w:style>
  <w:style w:type="character" w:customStyle="1" w:styleId="16">
    <w:name w:val="font61"/>
    <w:autoRedefine/>
    <w:qFormat/>
    <w:uiPriority w:val="0"/>
    <w:rPr>
      <w:rFonts w:hint="eastAsia" w:ascii="宋体" w:hAnsi="宋体" w:eastAsia="宋体" w:cs="宋体"/>
      <w:color w:val="000000"/>
      <w:sz w:val="24"/>
      <w:szCs w:val="24"/>
      <w:u w:val="none"/>
    </w:rPr>
  </w:style>
  <w:style w:type="character" w:customStyle="1" w:styleId="17">
    <w:name w:val="font01"/>
    <w:uiPriority w:val="0"/>
    <w:rPr>
      <w:rFonts w:hint="default" w:ascii="Times New Roman" w:hAnsi="Times New Roman" w:cs="Times New Roman"/>
      <w:color w:val="000000"/>
      <w:sz w:val="24"/>
      <w:szCs w:val="24"/>
      <w:u w:val="none"/>
    </w:rPr>
  </w:style>
  <w:style w:type="character" w:customStyle="1" w:styleId="18">
    <w:name w:val="font41"/>
    <w:uiPriority w:val="0"/>
    <w:rPr>
      <w:rFonts w:hint="default" w:ascii="华文细黑" w:hAnsi="华文细黑" w:eastAsia="华文细黑" w:cs="华文细黑"/>
      <w:color w:val="000000"/>
      <w:sz w:val="20"/>
      <w:szCs w:val="20"/>
      <w:u w:val="none"/>
    </w:rPr>
  </w:style>
  <w:style w:type="character" w:customStyle="1" w:styleId="19">
    <w:name w:val="font21"/>
    <w:autoRedefine/>
    <w:qFormat/>
    <w:uiPriority w:val="0"/>
    <w:rPr>
      <w:rFonts w:hint="default" w:ascii="Arial" w:hAnsi="Arial" w:cs="Arial"/>
      <w:color w:val="000000"/>
      <w:sz w:val="20"/>
      <w:szCs w:val="20"/>
      <w:u w:val="none"/>
    </w:rPr>
  </w:style>
  <w:style w:type="paragraph" w:customStyle="1" w:styleId="20">
    <w:name w:val="Char"/>
    <w:basedOn w:val="1"/>
    <w:autoRedefine/>
    <w:qFormat/>
    <w:uiPriority w:val="0"/>
    <w:rPr>
      <w:rFonts w:eastAsia="宋体"/>
      <w:sz w:val="21"/>
      <w:szCs w:val="21"/>
    </w:rPr>
  </w:style>
  <w:style w:type="paragraph" w:customStyle="1" w:styleId="21">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4">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uiPriority w:val="0"/>
    <w:pPr>
      <w:tabs>
        <w:tab w:val="center" w:pos="4153"/>
        <w:tab w:val="right" w:pos="8306"/>
      </w:tabs>
      <w:snapToGrid w:val="0"/>
      <w:jc w:val="left"/>
    </w:pPr>
    <w:rPr>
      <w:sz w:val="18"/>
    </w:rPr>
  </w:style>
  <w:style w:type="paragraph" w:customStyle="1" w:styleId="26">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7">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脚 New New New New New New New New New New New New New New New New New"/>
    <w:basedOn w:val="1"/>
    <w:uiPriority w:val="0"/>
    <w:pPr>
      <w:tabs>
        <w:tab w:val="center" w:pos="4153"/>
        <w:tab w:val="right" w:pos="8306"/>
      </w:tabs>
      <w:snapToGrid w:val="0"/>
      <w:jc w:val="left"/>
    </w:pPr>
    <w:rPr>
      <w:sz w:val="18"/>
    </w:rPr>
  </w:style>
  <w:style w:type="paragraph" w:customStyle="1" w:styleId="32">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4">
    <w:name w:val="页脚 New New New New New"/>
    <w:basedOn w:val="1"/>
    <w:autoRedefine/>
    <w:qFormat/>
    <w:uiPriority w:val="0"/>
    <w:pPr>
      <w:tabs>
        <w:tab w:val="center" w:pos="4153"/>
        <w:tab w:val="right" w:pos="8306"/>
      </w:tabs>
      <w:snapToGrid w:val="0"/>
      <w:jc w:val="left"/>
    </w:pPr>
    <w:rPr>
      <w:sz w:val="18"/>
    </w:rPr>
  </w:style>
  <w:style w:type="paragraph" w:customStyle="1" w:styleId="35">
    <w:name w:val="正文文本 21"/>
    <w:basedOn w:val="1"/>
    <w:autoRedefine/>
    <w:qFormat/>
    <w:uiPriority w:val="0"/>
    <w:pPr>
      <w:adjustRightInd w:val="0"/>
      <w:ind w:firstLine="630"/>
      <w:jc w:val="left"/>
      <w:textAlignment w:val="baseline"/>
    </w:pPr>
    <w:rPr>
      <w:rFonts w:eastAsia="黑体"/>
    </w:rPr>
  </w:style>
  <w:style w:type="paragraph" w:customStyle="1" w:styleId="36">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New New New New New New New New New"/>
    <w:basedOn w:val="1"/>
    <w:uiPriority w:val="0"/>
    <w:pPr>
      <w:tabs>
        <w:tab w:val="center" w:pos="4153"/>
        <w:tab w:val="right" w:pos="8306"/>
      </w:tabs>
      <w:snapToGrid w:val="0"/>
      <w:jc w:val="left"/>
    </w:pPr>
    <w:rPr>
      <w:sz w:val="18"/>
    </w:rPr>
  </w:style>
  <w:style w:type="paragraph" w:customStyle="1" w:styleId="38">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w:basedOn w:val="1"/>
    <w:autoRedefine/>
    <w:qFormat/>
    <w:uiPriority w:val="0"/>
    <w:pPr>
      <w:tabs>
        <w:tab w:val="center" w:pos="4153"/>
        <w:tab w:val="right" w:pos="8306"/>
      </w:tabs>
      <w:snapToGrid w:val="0"/>
      <w:jc w:val="left"/>
    </w:pPr>
    <w:rPr>
      <w:sz w:val="18"/>
    </w:rPr>
  </w:style>
  <w:style w:type="paragraph" w:customStyle="1" w:styleId="43">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51">
    <w:name w:val="p0"/>
    <w:basedOn w:val="1"/>
    <w:autoRedefine/>
    <w:qFormat/>
    <w:uiPriority w:val="0"/>
    <w:pPr>
      <w:widowControl/>
    </w:pPr>
    <w:rPr>
      <w:rFonts w:eastAsia="宋体"/>
      <w:kern w:val="0"/>
      <w:szCs w:val="32"/>
    </w:rPr>
  </w:style>
  <w:style w:type="paragraph" w:customStyle="1" w:styleId="5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页脚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w:basedOn w:val="1"/>
    <w:autoRedefine/>
    <w:qFormat/>
    <w:uiPriority w:val="0"/>
    <w:pPr>
      <w:tabs>
        <w:tab w:val="center" w:pos="4153"/>
        <w:tab w:val="right" w:pos="8306"/>
      </w:tabs>
      <w:snapToGrid w:val="0"/>
      <w:jc w:val="left"/>
    </w:pPr>
    <w:rPr>
      <w:sz w:val="18"/>
    </w:rPr>
  </w:style>
  <w:style w:type="paragraph" w:customStyle="1" w:styleId="60">
    <w:name w:val="页脚 New New New New New New"/>
    <w:basedOn w:val="1"/>
    <w:uiPriority w:val="0"/>
    <w:pPr>
      <w:tabs>
        <w:tab w:val="center" w:pos="4153"/>
        <w:tab w:val="right" w:pos="8306"/>
      </w:tabs>
      <w:snapToGrid w:val="0"/>
      <w:jc w:val="left"/>
    </w:pPr>
    <w:rPr>
      <w:sz w:val="18"/>
    </w:rPr>
  </w:style>
  <w:style w:type="paragraph" w:customStyle="1" w:styleId="6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2">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4">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6">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7">
    <w:name w:val="页脚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8">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0">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2">
    <w:name w:val="页脚 New New New"/>
    <w:basedOn w:val="1"/>
    <w:uiPriority w:val="0"/>
    <w:pPr>
      <w:tabs>
        <w:tab w:val="center" w:pos="4153"/>
        <w:tab w:val="right" w:pos="8306"/>
      </w:tabs>
      <w:snapToGrid w:val="0"/>
      <w:jc w:val="left"/>
    </w:pPr>
    <w:rPr>
      <w:sz w:val="18"/>
    </w:rPr>
  </w:style>
  <w:style w:type="paragraph" w:customStyle="1" w:styleId="73">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New New New New New New"/>
    <w:basedOn w:val="1"/>
    <w:uiPriority w:val="0"/>
    <w:pPr>
      <w:tabs>
        <w:tab w:val="center" w:pos="4153"/>
        <w:tab w:val="right" w:pos="8306"/>
      </w:tabs>
      <w:snapToGrid w:val="0"/>
      <w:jc w:val="left"/>
    </w:pPr>
    <w:rPr>
      <w:sz w:val="18"/>
    </w:rPr>
  </w:style>
  <w:style w:type="paragraph" w:customStyle="1" w:styleId="75">
    <w:name w:val="页脚 New New New New New New New New New New New New New New New New"/>
    <w:basedOn w:val="1"/>
    <w:uiPriority w:val="0"/>
    <w:pPr>
      <w:tabs>
        <w:tab w:val="center" w:pos="4153"/>
        <w:tab w:val="right" w:pos="8306"/>
      </w:tabs>
      <w:snapToGrid w:val="0"/>
      <w:jc w:val="left"/>
    </w:pPr>
    <w:rPr>
      <w:sz w:val="18"/>
    </w:rPr>
  </w:style>
  <w:style w:type="paragraph" w:customStyle="1" w:styleId="76">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w:basedOn w:val="1"/>
    <w:uiPriority w:val="0"/>
    <w:pPr>
      <w:tabs>
        <w:tab w:val="center" w:pos="4153"/>
        <w:tab w:val="right" w:pos="8306"/>
      </w:tabs>
      <w:snapToGrid w:val="0"/>
      <w:jc w:val="left"/>
    </w:pPr>
    <w:rPr>
      <w:sz w:val="18"/>
    </w:rPr>
  </w:style>
  <w:style w:type="paragraph" w:customStyle="1" w:styleId="78">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9">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81">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脚 New New New New New New New New New New New New New New New New New New New New New"/>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BF281A-E022-4525-B0BD-CE4361A6904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Company>微软中国</Company>
  <Pages>22</Pages>
  <Words>1284</Words>
  <Characters>7322</Characters>
  <Lines>61</Lines>
  <Paragraphs>17</Paragraphs>
  <TotalTime>23</TotalTime>
  <ScaleCrop>false</ScaleCrop>
  <LinksUpToDate>false</LinksUpToDate>
  <CharactersWithSpaces>8589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2022-06-16T08:31:00Z</dcterms:created>
  <dc:creator>Administrator</dc:creator>
  <cp:lastModifiedBy>Administrator</cp:lastModifiedBy>
  <cp:lastPrinted>2022-06-16T08:38:00Z</cp:lastPrinted>
  <dcterms:modified xsi:type="dcterms:W3CDTF">2024-03-07T02:23:59Z</dcterms:modified>
  <dc:title>主  持  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C0EB0BCFB4B143F599B5CDEA15A70E0F_13</vt:lpwstr>
  </property>
</Properties>
</file>