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241" w:line="217" w:lineRule="auto"/>
        <w:outlineLvl w:val="0"/>
        <w:rPr/>
      </w:pPr>
      <w:r>
        <w:rPr>
          <w:b/>
          <w:bCs/>
          <w:color w:val="F40000"/>
          <w:spacing w:val="-38"/>
        </w:rPr>
        <w:t>教</w:t>
      </w:r>
      <w:r>
        <w:rPr>
          <w:color w:val="F40000"/>
          <w:spacing w:val="39"/>
        </w:rPr>
        <w:t xml:space="preserve">      </w:t>
      </w:r>
      <w:r>
        <w:rPr>
          <w:b/>
          <w:bCs/>
          <w:color w:val="F40000"/>
          <w:spacing w:val="-38"/>
        </w:rPr>
        <w:t>育</w:t>
      </w:r>
      <w:r>
        <w:rPr>
          <w:color w:val="F40000"/>
          <w:spacing w:val="-38"/>
        </w:rPr>
        <w:t xml:space="preserve">       </w:t>
      </w:r>
      <w:r>
        <w:rPr>
          <w:b/>
          <w:bCs/>
          <w:color w:val="F40000"/>
          <w:spacing w:val="-38"/>
        </w:rPr>
        <w:t>部</w:t>
      </w:r>
    </w:p>
    <w:p>
      <w:pPr>
        <w:pStyle w:val="BodyText"/>
        <w:ind w:left="28"/>
        <w:spacing w:before="1" w:line="219" w:lineRule="auto"/>
        <w:rPr/>
      </w:pPr>
      <w:r>
        <w:pict>
          <v:shape id="_x0000_s2" style="position:absolute;margin-left:371.013pt;margin-top:19.0695pt;mso-position-vertical-relative:text;mso-position-horizontal-relative:text;width:72.05pt;height:46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1" w:line="219" w:lineRule="auto"/>
                    <w:jc w:val="right"/>
                    <w:rPr/>
                  </w:pPr>
                  <w:r>
                    <w:rPr>
                      <w:b/>
                      <w:bCs/>
                      <w:color w:val="F40008"/>
                      <w:spacing w:val="-64"/>
                    </w:rPr>
                    <w:t>文</w:t>
                  </w:r>
                  <w:r>
                    <w:rPr>
                      <w:b/>
                      <w:bCs/>
                      <w:color w:val="F40008"/>
                      <w:spacing w:val="-32"/>
                    </w:rPr>
                    <w:t>件</w:t>
                  </w:r>
                </w:p>
              </w:txbxContent>
            </v:textbox>
          </v:shape>
        </w:pict>
      </w:r>
      <w:r>
        <w:rPr>
          <w:b/>
          <w:bCs/>
          <w:color w:val="FA0008"/>
          <w:spacing w:val="-57"/>
          <w:w w:val="95"/>
        </w:rPr>
        <w:t>财</w:t>
      </w:r>
      <w:r>
        <w:rPr>
          <w:color w:val="FA0008"/>
          <w:spacing w:val="39"/>
        </w:rPr>
        <w:t xml:space="preserve">      </w:t>
      </w:r>
      <w:r>
        <w:rPr>
          <w:b/>
          <w:bCs/>
          <w:color w:val="FA0008"/>
          <w:spacing w:val="-57"/>
          <w:w w:val="95"/>
        </w:rPr>
        <w:t>政</w:t>
      </w:r>
      <w:r>
        <w:rPr>
          <w:color w:val="FA0008"/>
          <w:spacing w:val="40"/>
        </w:rPr>
        <w:t xml:space="preserve">      </w:t>
      </w:r>
      <w:r>
        <w:rPr>
          <w:b/>
          <w:bCs/>
          <w:color w:val="FA0008"/>
          <w:spacing w:val="-57"/>
          <w:w w:val="95"/>
        </w:rPr>
        <w:t>部</w:t>
      </w:r>
    </w:p>
    <w:p>
      <w:pPr>
        <w:pStyle w:val="BodyText"/>
        <w:ind w:left="29"/>
        <w:spacing w:before="3" w:line="209" w:lineRule="auto"/>
        <w:rPr/>
      </w:pPr>
      <w:r>
        <w:rPr>
          <w:b/>
          <w:bCs/>
          <w:color w:val="F40008"/>
          <w:spacing w:val="-88"/>
        </w:rPr>
        <w:t>中</w:t>
      </w:r>
      <w:r>
        <w:rPr>
          <w:color w:val="F40008"/>
          <w:spacing w:val="258"/>
        </w:rPr>
        <w:t xml:space="preserve"> </w:t>
      </w:r>
      <w:r>
        <w:rPr>
          <w:b/>
          <w:bCs/>
          <w:color w:val="F40008"/>
          <w:spacing w:val="-88"/>
        </w:rPr>
        <w:t>国</w:t>
      </w:r>
      <w:r>
        <w:rPr>
          <w:color w:val="F40008"/>
          <w:spacing w:val="220"/>
        </w:rPr>
        <w:t xml:space="preserve"> </w:t>
      </w:r>
      <w:r>
        <w:rPr>
          <w:b/>
          <w:bCs/>
          <w:color w:val="F40008"/>
          <w:spacing w:val="-88"/>
        </w:rPr>
        <w:t>人</w:t>
      </w:r>
      <w:r>
        <w:rPr>
          <w:color w:val="F40008"/>
          <w:spacing w:val="-88"/>
        </w:rPr>
        <w:t xml:space="preserve">  </w:t>
      </w:r>
      <w:r>
        <w:rPr>
          <w:b/>
          <w:bCs/>
          <w:color w:val="F40008"/>
          <w:spacing w:val="-88"/>
        </w:rPr>
        <w:t>民</w:t>
      </w:r>
      <w:r>
        <w:rPr>
          <w:color w:val="F40008"/>
          <w:spacing w:val="-88"/>
        </w:rPr>
        <w:t xml:space="preserve">  </w:t>
      </w:r>
      <w:r>
        <w:rPr>
          <w:b/>
          <w:bCs/>
          <w:color w:val="F40008"/>
          <w:spacing w:val="-88"/>
        </w:rPr>
        <w:t>银</w:t>
      </w:r>
      <w:r>
        <w:rPr>
          <w:color w:val="F40008"/>
          <w:spacing w:val="-88"/>
        </w:rPr>
        <w:t xml:space="preserve">  </w:t>
      </w:r>
      <w:r>
        <w:rPr>
          <w:b/>
          <w:bCs/>
          <w:color w:val="F40008"/>
          <w:spacing w:val="-88"/>
        </w:rPr>
        <w:t>行</w:t>
      </w:r>
    </w:p>
    <w:p>
      <w:pPr>
        <w:pStyle w:val="BodyText"/>
        <w:ind w:left="27"/>
        <w:spacing w:before="1" w:line="219" w:lineRule="auto"/>
        <w:rPr/>
      </w:pPr>
      <w:r>
        <w:rPr>
          <w:b/>
          <w:bCs/>
          <w:color w:val="F40008"/>
          <w:spacing w:val="-95"/>
        </w:rPr>
        <w:t>金</w:t>
      </w:r>
      <w:r>
        <w:rPr>
          <w:color w:val="F40008"/>
          <w:spacing w:val="299"/>
        </w:rPr>
        <w:t xml:space="preserve"> </w:t>
      </w:r>
      <w:r>
        <w:rPr>
          <w:b/>
          <w:bCs/>
          <w:color w:val="F40008"/>
          <w:spacing w:val="-95"/>
        </w:rPr>
        <w:t>融</w:t>
      </w:r>
      <w:r>
        <w:rPr>
          <w:color w:val="F40008"/>
          <w:spacing w:val="-95"/>
        </w:rPr>
        <w:t xml:space="preserve">  </w:t>
      </w:r>
      <w:r>
        <w:rPr>
          <w:b/>
          <w:bCs/>
          <w:color w:val="F40008"/>
          <w:spacing w:val="-95"/>
        </w:rPr>
        <w:t>监</w:t>
      </w:r>
      <w:r>
        <w:rPr>
          <w:color w:val="F40008"/>
          <w:spacing w:val="-95"/>
        </w:rPr>
        <w:t xml:space="preserve">  </w:t>
      </w:r>
      <w:r>
        <w:rPr>
          <w:b/>
          <w:bCs/>
          <w:color w:val="F40008"/>
          <w:spacing w:val="-95"/>
        </w:rPr>
        <w:t>管</w:t>
      </w:r>
      <w:r>
        <w:rPr>
          <w:color w:val="F40008"/>
          <w:spacing w:val="285"/>
        </w:rPr>
        <w:t xml:space="preserve"> </w:t>
      </w:r>
      <w:r>
        <w:rPr>
          <w:b/>
          <w:bCs/>
          <w:color w:val="F40008"/>
          <w:spacing w:val="-95"/>
        </w:rPr>
        <w:t>总</w:t>
      </w:r>
      <w:r>
        <w:rPr>
          <w:color w:val="F40008"/>
          <w:spacing w:val="-95"/>
        </w:rPr>
        <w:t xml:space="preserve">  </w:t>
      </w:r>
      <w:r>
        <w:rPr>
          <w:b/>
          <w:bCs/>
          <w:color w:val="F40008"/>
          <w:spacing w:val="-95"/>
        </w:rPr>
        <w:t>局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3270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教财〔2023〕4号</w:t>
      </w:r>
    </w:p>
    <w:p>
      <w:pPr>
        <w:spacing w:before="121" w:line="60" w:lineRule="exact"/>
        <w:rPr/>
      </w:pPr>
      <w:r>
        <w:rPr>
          <w:position w:val="-1"/>
        </w:rPr>
        <w:drawing>
          <wp:inline distT="0" distB="0" distL="0" distR="0">
            <wp:extent cx="5664201" cy="3815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64201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965"/>
        <w:spacing w:before="134" w:line="592" w:lineRule="exact"/>
        <w:rPr>
          <w:sz w:val="41"/>
          <w:szCs w:val="41"/>
        </w:rPr>
      </w:pPr>
      <w:r>
        <w:rPr>
          <w:sz w:val="41"/>
          <w:szCs w:val="41"/>
          <w:b/>
          <w:bCs/>
          <w:position w:val="12"/>
        </w:rPr>
        <w:t>教育部等四部门关于调整完善助学贷款</w:t>
      </w:r>
    </w:p>
    <w:p>
      <w:pPr>
        <w:pStyle w:val="BodyText"/>
        <w:ind w:left="3055"/>
        <w:spacing w:line="220" w:lineRule="auto"/>
        <w:rPr>
          <w:sz w:val="41"/>
          <w:szCs w:val="41"/>
        </w:rPr>
      </w:pPr>
      <w:r>
        <w:rPr>
          <w:sz w:val="41"/>
          <w:szCs w:val="41"/>
          <w:b/>
          <w:bCs/>
          <w:spacing w:val="-3"/>
        </w:rPr>
        <w:t>有关政策的通知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left="19" w:right="20"/>
        <w:spacing w:before="104" w:line="26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各省、自治区、直辖市教育厅(教委)、财政厅</w:t>
      </w:r>
      <w:r>
        <w:rPr>
          <w:rFonts w:ascii="FangSong" w:hAnsi="FangSong" w:eastAsia="FangSong" w:cs="FangSong"/>
          <w:sz w:val="32"/>
          <w:szCs w:val="32"/>
          <w:spacing w:val="10"/>
        </w:rPr>
        <w:t>(局),各计划单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列市教育局、财政局，新疆生产建设兵团教育局、财政局，中国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0"/>
        </w:rPr>
        <w:t>人民银行上海总部，各省、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0"/>
        </w:rPr>
        <w:t>自治区、直辖市、计划单列市分行，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国家金融监督管理总局各监管局，中央部门所属各高等学校，各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6"/>
        </w:rPr>
        <w:t>银行业金融机构：</w:t>
      </w:r>
    </w:p>
    <w:p>
      <w:pPr>
        <w:spacing w:before="100" w:line="614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1"/>
        </w:rPr>
        <w:t>为进一步健全学生资助政策体系，更好满足学生</w:t>
      </w:r>
      <w:r>
        <w:rPr>
          <w:rFonts w:ascii="FangSong" w:hAnsi="FangSong" w:eastAsia="FangSong" w:cs="FangSong"/>
          <w:sz w:val="32"/>
          <w:szCs w:val="32"/>
          <w:spacing w:val="-2"/>
          <w:position w:val="21"/>
        </w:rPr>
        <w:t>贷款需求，</w:t>
      </w:r>
    </w:p>
    <w:p>
      <w:pPr>
        <w:pStyle w:val="BodyText"/>
        <w:ind w:left="7680"/>
        <w:spacing w:before="1" w:line="183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—1—</w:t>
      </w:r>
    </w:p>
    <w:p>
      <w:pPr>
        <w:spacing w:line="183" w:lineRule="auto"/>
        <w:sectPr>
          <w:pgSz w:w="11900" w:h="16830"/>
          <w:pgMar w:top="1430" w:right="1369" w:bottom="0" w:left="1499" w:header="0" w:footer="0" w:gutter="0"/>
        </w:sectPr>
        <w:rPr>
          <w:sz w:val="32"/>
          <w:szCs w:val="32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before="98" w:line="53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  <w:position w:val="16"/>
        </w:rPr>
        <w:t>减轻学生经济负担，经国务院同意，决定调整完善助学贷款有关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政策。现将有关事项通知如下。</w:t>
      </w:r>
    </w:p>
    <w:p>
      <w:pPr>
        <w:ind w:left="644"/>
        <w:spacing w:before="166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一、提高国家助学贷款额度</w:t>
      </w:r>
    </w:p>
    <w:p>
      <w:pPr>
        <w:ind w:right="98" w:firstLine="650"/>
        <w:spacing w:before="154" w:line="32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9"/>
        </w:rPr>
        <w:t>自2023年秋季学期起，全日制普通本专科学生(含第二学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士学位、高职学生、预科生，下同)每人每年申请贷</w:t>
      </w:r>
      <w:r>
        <w:rPr>
          <w:rFonts w:ascii="FangSong" w:hAnsi="FangSong" w:eastAsia="FangSong" w:cs="FangSong"/>
          <w:sz w:val="30"/>
          <w:szCs w:val="30"/>
          <w:spacing w:val="19"/>
        </w:rPr>
        <w:t>款额度由不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超过12000元提高至不超过16000元；全日制研究</w:t>
      </w:r>
      <w:r>
        <w:rPr>
          <w:rFonts w:ascii="FangSong" w:hAnsi="FangSong" w:eastAsia="FangSong" w:cs="FangSong"/>
          <w:sz w:val="30"/>
          <w:szCs w:val="30"/>
          <w:spacing w:val="22"/>
        </w:rPr>
        <w:t>生每人每年申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请贷款额度由不超过16000元提高至不超过20000元。</w:t>
      </w:r>
      <w:r>
        <w:rPr>
          <w:rFonts w:ascii="FangSong" w:hAnsi="FangSong" w:eastAsia="FangSong" w:cs="FangSong"/>
          <w:sz w:val="30"/>
          <w:szCs w:val="30"/>
          <w:spacing w:val="21"/>
        </w:rPr>
        <w:t>学生申请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的国家助学贷款优先用于支付在校期间学费和住宿费，超出部分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用于弥补日常生活费。</w:t>
      </w:r>
    </w:p>
    <w:p>
      <w:pPr>
        <w:ind w:firstLine="650"/>
        <w:spacing w:before="201" w:line="32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国家助学贷款额度调整后，服兵役高等学校学生学费补偿、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用于学费的国家助学贷款代偿和学费减免标准以及</w:t>
      </w:r>
      <w:r>
        <w:rPr>
          <w:rFonts w:ascii="FangSong" w:hAnsi="FangSong" w:eastAsia="FangSong" w:cs="FangSong"/>
          <w:sz w:val="30"/>
          <w:szCs w:val="30"/>
          <w:spacing w:val="13"/>
        </w:rPr>
        <w:t>基层就业学费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补偿、用于学费的国家助学贷款代偿标准，相应</w:t>
      </w:r>
      <w:r>
        <w:rPr>
          <w:rFonts w:ascii="FangSong" w:hAnsi="FangSong" w:eastAsia="FangSong" w:cs="FangSong"/>
          <w:sz w:val="30"/>
          <w:szCs w:val="30"/>
          <w:spacing w:val="13"/>
        </w:rPr>
        <w:t>调整为本专科学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9"/>
        </w:rPr>
        <w:t>生每人每年最高不超过16000元、研究生每人每年最高不超过</w:t>
      </w:r>
    </w:p>
    <w:p>
      <w:pPr>
        <w:spacing w:before="1" w:line="2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20000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元。</w:t>
      </w:r>
    </w:p>
    <w:p>
      <w:pPr>
        <w:ind w:left="654"/>
        <w:spacing w:before="15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</w:rPr>
        <w:t>二、</w:t>
      </w:r>
      <w:r>
        <w:rPr>
          <w:rFonts w:ascii="SimHei" w:hAnsi="SimHei" w:eastAsia="SimHei" w:cs="SimHei"/>
          <w:sz w:val="30"/>
          <w:szCs w:val="30"/>
          <w:spacing w:val="-5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</w:rPr>
        <w:t>调整国家助学贷款利率</w:t>
      </w:r>
    </w:p>
    <w:p>
      <w:pPr>
        <w:pStyle w:val="BodyText"/>
        <w:ind w:right="119" w:firstLine="650"/>
        <w:spacing w:before="136" w:line="32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</w:rPr>
        <w:t>国家助学贷款利率由同期同档次贷款市场报价利率</w:t>
      </w:r>
      <w:r>
        <w:rPr>
          <w:rFonts w:ascii="FangSong" w:hAnsi="FangSong" w:eastAsia="FangSong" w:cs="FangSong"/>
          <w:sz w:val="30"/>
          <w:szCs w:val="3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LPR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31"/>
        </w:rPr>
        <w:t>减30个基点，调整为同期同档次</w:t>
      </w:r>
      <w:r>
        <w:rPr>
          <w:rFonts w:ascii="FangSong" w:hAnsi="FangSong" w:eastAsia="FangSong" w:cs="FangSong"/>
          <w:sz w:val="30"/>
          <w:szCs w:val="30"/>
          <w:spacing w:val="-66"/>
        </w:rPr>
        <w:t xml:space="preserve"> </w:t>
      </w:r>
      <w:r>
        <w:rPr>
          <w:sz w:val="30"/>
          <w:szCs w:val="30"/>
        </w:rPr>
        <w:t>LPR</w:t>
      </w:r>
      <w:r>
        <w:rPr>
          <w:sz w:val="30"/>
          <w:szCs w:val="30"/>
          <w:spacing w:val="1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减60个基点。对此前已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签订的参考</w:t>
      </w:r>
      <w:r>
        <w:rPr>
          <w:rFonts w:ascii="FangSong" w:hAnsi="FangSong" w:eastAsia="FangSong" w:cs="FangSong"/>
          <w:sz w:val="30"/>
          <w:szCs w:val="30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LPR</w:t>
      </w: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9"/>
        </w:rPr>
        <w:t>的浮动利率国家助学贷款合同，承办银行可与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贷款学生协商，将原合同利率调整为同期同档次</w:t>
      </w:r>
      <w:r>
        <w:rPr>
          <w:rFonts w:ascii="FangSong" w:hAnsi="FangSong" w:eastAsia="FangSong" w:cs="FangSong"/>
          <w:sz w:val="30"/>
          <w:szCs w:val="30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LPR</w:t>
      </w: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9"/>
        </w:rPr>
        <w:t>减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6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0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个</w:t>
      </w:r>
    </w:p>
    <w:p>
      <w:pPr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基点。</w:t>
      </w:r>
    </w:p>
    <w:p>
      <w:pPr>
        <w:ind w:left="654"/>
        <w:spacing w:before="15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"/>
        </w:rPr>
        <w:t>三、</w:t>
      </w:r>
      <w:r>
        <w:rPr>
          <w:rFonts w:ascii="SimHei" w:hAnsi="SimHei" w:eastAsia="SimHei" w:cs="SimHei"/>
          <w:sz w:val="30"/>
          <w:szCs w:val="30"/>
          <w:spacing w:val="-4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2"/>
        </w:rPr>
        <w:t>开展研究生商业性助学贷款工作</w:t>
      </w:r>
    </w:p>
    <w:p>
      <w:pPr>
        <w:ind w:right="110" w:firstLine="650"/>
        <w:spacing w:before="169" w:line="31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为更好满足研究生在校期间合理的学习生活需求，切实减轻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研究生家庭经济负担，银行业金融机构可向在校研究生发放商业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6"/>
        </w:rPr>
        <w:t>性助学贷款。鼓励银行业金融机构有针对性地开发完</w:t>
      </w:r>
      <w:r>
        <w:rPr>
          <w:rFonts w:ascii="FangSong" w:hAnsi="FangSong" w:eastAsia="FangSong" w:cs="FangSong"/>
          <w:sz w:val="30"/>
          <w:szCs w:val="30"/>
          <w:spacing w:val="25"/>
        </w:rPr>
        <w:t>善手续便</w:t>
      </w:r>
    </w:p>
    <w:p>
      <w:pPr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捷、风险可控的研究生信用助学贷款产品，并在贷款额度、利</w:t>
      </w:r>
    </w:p>
    <w:p>
      <w:pPr>
        <w:spacing w:line="219" w:lineRule="auto"/>
        <w:sectPr>
          <w:footerReference w:type="default" r:id="rId2"/>
          <w:pgSz w:w="11870" w:h="16830"/>
          <w:pgMar w:top="1430" w:right="1580" w:bottom="1440" w:left="1359" w:header="0" w:footer="114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line="265" w:lineRule="auto"/>
        <w:rPr>
          <w:rFonts w:ascii="Arial"/>
          <w:sz w:val="21"/>
        </w:rPr>
      </w:pPr>
      <w:r>
        <w:pict>
          <v:shape id="_x0000_s4" style="position:absolute;margin-left:140.205pt;margin-top:296.269pt;mso-position-vertical-relative:page;mso-position-horizontal-relative:page;width:77.5pt;height:19.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22" w:lineRule="auto"/>
                    <w:jc w:val="right"/>
                    <w:rPr>
                      <w:rFonts w:ascii="FangSong" w:hAnsi="FangSong" w:eastAsia="FangSong" w:cs="FangSong"/>
                      <w:sz w:val="29"/>
                      <w:szCs w:val="29"/>
                    </w:rPr>
                  </w:pPr>
                  <w:r>
                    <w:rPr>
                      <w:rFonts w:ascii="FangSong" w:hAnsi="FangSong" w:eastAsia="FangSong" w:cs="FangSong"/>
                      <w:sz w:val="29"/>
                      <w:szCs w:val="29"/>
                      <w:b/>
                      <w:bCs/>
                      <w:spacing w:val="-21"/>
                    </w:rPr>
                    <w:t>教</w:t>
                  </w:r>
                  <w:r>
                    <w:rPr>
                      <w:rFonts w:ascii="FangSong" w:hAnsi="FangSong" w:eastAsia="FangSong" w:cs="FangSong"/>
                      <w:sz w:val="29"/>
                      <w:szCs w:val="29"/>
                      <w:spacing w:val="6"/>
                    </w:rPr>
                    <w:t xml:space="preserve">  </w:t>
                  </w:r>
                  <w:r>
                    <w:rPr>
                      <w:rFonts w:ascii="FangSong" w:hAnsi="FangSong" w:eastAsia="FangSong" w:cs="FangSong"/>
                      <w:sz w:val="29"/>
                      <w:szCs w:val="29"/>
                      <w:b/>
                      <w:bCs/>
                      <w:spacing w:val="-20"/>
                    </w:rPr>
                    <w:t>育</w:t>
                  </w:r>
                  <w:r>
                    <w:rPr>
                      <w:rFonts w:ascii="FangSong" w:hAnsi="FangSong" w:eastAsia="FangSong" w:cs="FangSong"/>
                      <w:sz w:val="29"/>
                      <w:szCs w:val="29"/>
                      <w:spacing w:val="-20"/>
                    </w:rPr>
                    <w:t xml:space="preserve">   </w:t>
                  </w:r>
                  <w:r>
                    <w:rPr>
                      <w:rFonts w:ascii="FangSong" w:hAnsi="FangSong" w:eastAsia="FangSong" w:cs="FangSong"/>
                      <w:sz w:val="29"/>
                      <w:szCs w:val="29"/>
                      <w:b/>
                      <w:bCs/>
                      <w:spacing w:val="-7"/>
                    </w:rPr>
                    <w:t>部</w:t>
                  </w:r>
                </w:p>
              </w:txbxContent>
            </v:textbox>
          </v:shape>
        </w:pict>
      </w:r>
      <w:r>
        <w:pict>
          <v:shape id="_x0000_s6" style="position:absolute;margin-left:323.209pt;margin-top:447.094pt;mso-position-vertical-relative:page;mso-position-horizontal-relative:page;width:124pt;height:46.15pt;z-index:-251656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49"/>
                    <w:spacing w:before="20" w:line="220" w:lineRule="auto"/>
                    <w:rPr>
                      <w:rFonts w:ascii="FangSong" w:hAnsi="FangSong" w:eastAsia="FangSong" w:cs="FangSong"/>
                      <w:sz w:val="29"/>
                      <w:szCs w:val="29"/>
                    </w:rPr>
                  </w:pPr>
                  <w:r>
                    <w:rPr>
                      <w:rFonts w:ascii="FangSong" w:hAnsi="FangSong" w:eastAsia="FangSong" w:cs="FangSong"/>
                      <w:sz w:val="29"/>
                      <w:szCs w:val="29"/>
                      <w:b/>
                      <w:bCs/>
                      <w:spacing w:val="16"/>
                    </w:rPr>
                    <w:t>金融监带总局</w:t>
                  </w:r>
                </w:p>
                <w:p>
                  <w:pPr>
                    <w:spacing w:before="188" w:line="222" w:lineRule="auto"/>
                    <w:jc w:val="right"/>
                    <w:rPr>
                      <w:rFonts w:ascii="FangSong" w:hAnsi="FangSong" w:eastAsia="FangSong" w:cs="FangSong"/>
                      <w:sz w:val="29"/>
                      <w:szCs w:val="29"/>
                    </w:rPr>
                  </w:pPr>
                  <w:r>
                    <w:rPr>
                      <w:rFonts w:ascii="FangSong" w:hAnsi="FangSong" w:eastAsia="FangSong" w:cs="FangSong"/>
                      <w:sz w:val="29"/>
                      <w:szCs w:val="29"/>
                      <w:b/>
                      <w:bCs/>
                      <w:spacing w:val="38"/>
                    </w:rPr>
                    <w:t>2023年9月11</w:t>
                  </w:r>
                  <w:r>
                    <w:rPr>
                      <w:rFonts w:ascii="FangSong" w:hAnsi="FangSong" w:eastAsia="FangSong" w:cs="FangSong"/>
                      <w:sz w:val="29"/>
                      <w:szCs w:val="29"/>
                      <w:spacing w:val="-2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29"/>
                      <w:szCs w:val="29"/>
                      <w:b/>
                      <w:bCs/>
                      <w:spacing w:val="38"/>
                    </w:rPr>
                    <w:t>日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1435130</wp:posOffset>
            </wp:positionH>
            <wp:positionV relativeFrom="page">
              <wp:posOffset>2470098</wp:posOffset>
            </wp:positionV>
            <wp:extent cx="1822400" cy="182246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22400" cy="182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1371580</wp:posOffset>
            </wp:positionH>
            <wp:positionV relativeFrom="page">
              <wp:posOffset>4451370</wp:posOffset>
            </wp:positionV>
            <wp:extent cx="1828824" cy="186050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28824" cy="1860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9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7"/>
        </w:rPr>
        <w:t>率、期限、还款方式等方面给予一定优惠。</w:t>
      </w:r>
    </w:p>
    <w:p>
      <w:pPr>
        <w:spacing w:before="188" w:line="530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21"/>
          <w:position w:val="17"/>
        </w:rPr>
        <w:t>本通知自印发之日起施行。此前规定与本通知不一致的，以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8"/>
        </w:rPr>
        <w:t>本通知为准。本通知未规定事项，按照原政策执行。</w:t>
      </w:r>
    </w:p>
    <w:p>
      <w:pPr>
        <w:ind w:firstLine="4755"/>
        <w:spacing w:before="209" w:line="5960" w:lineRule="exact"/>
        <w:rPr/>
      </w:pPr>
      <w:r>
        <w:rPr>
          <w:position w:val="-119"/>
        </w:rPr>
        <w:drawing>
          <wp:inline distT="0" distB="0" distL="0" distR="0">
            <wp:extent cx="1904993" cy="378460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4993" cy="378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60" w:lineRule="exact"/>
        <w:sectPr>
          <w:footerReference w:type="default" r:id="rId3"/>
          <w:pgSz w:w="11900" w:h="16830"/>
          <w:pgMar w:top="1430" w:right="1680" w:bottom="1393" w:left="1424" w:header="0" w:footer="1105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59"/>
        <w:spacing w:before="8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1"/>
        </w:rPr>
        <w:t>(此件主动公开)</w:t>
      </w:r>
    </w:p>
    <w:p>
      <w:pPr>
        <w:spacing w:line="90" w:lineRule="exact"/>
        <w:rPr/>
      </w:pPr>
      <w:r/>
    </w:p>
    <w:tbl>
      <w:tblPr>
        <w:tblStyle w:val="TableNormal"/>
        <w:tblW w:w="891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959"/>
        <w:gridCol w:w="3951"/>
      </w:tblGrid>
      <w:tr>
        <w:trPr>
          <w:trHeight w:val="559" w:hRule="atLeast"/>
        </w:trPr>
        <w:tc>
          <w:tcPr>
            <w:tcW w:w="495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359"/>
              <w:spacing w:before="168" w:line="222" w:lineRule="auto"/>
              <w:rPr/>
            </w:pPr>
            <w:r>
              <w:rPr>
                <w:spacing w:val="25"/>
              </w:rPr>
              <w:t>部内发送：有关部领导，办公厅</w:t>
            </w:r>
          </w:p>
        </w:tc>
        <w:tc>
          <w:tcPr>
            <w:tcW w:w="3951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495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359"/>
              <w:spacing w:before="179" w:line="222" w:lineRule="auto"/>
              <w:rPr/>
            </w:pPr>
            <w:r>
              <w:rPr>
                <w:spacing w:val="19"/>
              </w:rPr>
              <w:t>教育部办公厅</w:t>
            </w:r>
          </w:p>
        </w:tc>
        <w:tc>
          <w:tcPr>
            <w:tcW w:w="3951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ind w:left="841"/>
              <w:spacing w:before="167" w:line="222" w:lineRule="auto"/>
              <w:rPr/>
            </w:pPr>
            <w:r>
              <w:rPr>
                <w:spacing w:val="-21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21"/>
              </w:rPr>
              <w:t>0</w:t>
            </w:r>
            <w:r>
              <w:rPr>
                <w:spacing w:val="-55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-21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21"/>
              </w:rPr>
              <w:t>年</w:t>
            </w:r>
            <w:r>
              <w:rPr>
                <w:spacing w:val="-56"/>
              </w:rPr>
              <w:t xml:space="preserve"> </w:t>
            </w:r>
            <w:r>
              <w:rPr>
                <w:spacing w:val="-21"/>
              </w:rPr>
              <w:t>9</w:t>
            </w:r>
            <w:r>
              <w:rPr>
                <w:spacing w:val="-38"/>
              </w:rPr>
              <w:t xml:space="preserve"> </w:t>
            </w:r>
            <w:r>
              <w:rPr>
                <w:spacing w:val="-21"/>
              </w:rPr>
              <w:t>月</w:t>
            </w:r>
            <w:r>
              <w:rPr>
                <w:spacing w:val="-39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53"/>
              </w:rPr>
              <w:t xml:space="preserve"> </w:t>
            </w:r>
            <w:r>
              <w:rPr>
                <w:spacing w:val="-21"/>
              </w:rPr>
              <w:t>3</w:t>
            </w:r>
            <w:r>
              <w:rPr>
                <w:spacing w:val="-21"/>
              </w:rPr>
              <w:t xml:space="preserve"> </w:t>
            </w:r>
            <w:r>
              <w:rPr>
                <w:spacing w:val="-21"/>
              </w:rPr>
              <w:t>日</w:t>
            </w:r>
            <w:r>
              <w:rPr>
                <w:spacing w:val="-21"/>
              </w:rPr>
              <w:t xml:space="preserve"> </w:t>
            </w:r>
            <w:r>
              <w:rPr>
                <w:spacing w:val="-21"/>
              </w:rPr>
              <w:t>印</w:t>
            </w:r>
            <w:r>
              <w:rPr>
                <w:spacing w:val="-43"/>
              </w:rPr>
              <w:t xml:space="preserve"> </w:t>
            </w:r>
            <w:r>
              <w:rPr>
                <w:spacing w:val="-21"/>
              </w:rPr>
              <w:t>发</w:t>
            </w:r>
          </w:p>
        </w:tc>
      </w:tr>
    </w:tbl>
    <w:p>
      <w:pPr>
        <w:ind w:firstLine="5689"/>
        <w:spacing w:before="190" w:line="790" w:lineRule="exact"/>
        <w:rPr/>
      </w:pPr>
      <w:r>
        <w:rPr>
          <w:position w:val="-15"/>
        </w:rPr>
        <w:drawing>
          <wp:inline distT="0" distB="0" distL="0" distR="0">
            <wp:extent cx="1898645" cy="50165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9864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7"/>
      <w:pgSz w:w="11900" w:h="16830"/>
      <w:pgMar w:top="1430" w:right="1460" w:bottom="400" w:left="15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0"/>
      <w:spacing w:before="1" w:line="176" w:lineRule="auto"/>
      <w:rPr>
        <w:sz w:val="30"/>
        <w:szCs w:val="30"/>
      </w:rPr>
    </w:pPr>
    <w:r>
      <w:rPr>
        <w:sz w:val="30"/>
        <w:szCs w:val="30"/>
        <w:spacing w:val="-4"/>
      </w:rPr>
      <w:t>—2—</w:t>
    </w:r>
    <w:r>
      <w:rPr>
        <w:sz w:val="30"/>
        <w:szCs w:val="30"/>
      </w:rPr>
      <w:t xml:space="preserve">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25"/>
      <w:spacing w:before="1" w:line="176" w:lineRule="auto"/>
      <w:rPr>
        <w:sz w:val="29"/>
        <w:szCs w:val="29"/>
      </w:rPr>
    </w:pPr>
    <w:r>
      <w:rPr>
        <w:sz w:val="29"/>
        <w:szCs w:val="29"/>
        <w:spacing w:val="-3"/>
      </w:rPr>
      <w:t>—3</w:t>
    </w:r>
    <w:r>
      <w:rPr>
        <w:sz w:val="29"/>
        <w:szCs w:val="29"/>
        <w:spacing w:val="99"/>
      </w:rPr>
      <w:t xml:space="preserve"> </w:t>
    </w:r>
    <w:r>
      <w:rPr>
        <w:sz w:val="29"/>
        <w:szCs w:val="29"/>
        <w:spacing w:val="-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74"/>
      <w:szCs w:val="7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5.jpeg"/><Relationship Id="rId7" Type="http://schemas.openxmlformats.org/officeDocument/2006/relationships/footer" Target="footer3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2024-06-20T15:50:27Z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2024-06-20T15:50:28</vt:filetime>
  </property>
  <property fmtid="{D5CDD505-2E9C-101B-9397-08002B2CF9AE}" pid="4" name="UsrData">
    <vt:lpwstr>6673df3f7e6e91001ffc1281wl</vt:lpwstr>
  </property>
</Properties>
</file>